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E96" w:rsidRPr="002419AA" w:rsidRDefault="00867E96" w:rsidP="00867E96">
      <w:pPr>
        <w:jc w:val="center"/>
        <w:rPr>
          <w:rFonts w:asciiTheme="minorHAnsi" w:hAnsiTheme="minorHAnsi"/>
          <w:b/>
          <w:sz w:val="22"/>
          <w:szCs w:val="22"/>
          <w:lang w:val="sr-Cyrl-BA"/>
        </w:rPr>
      </w:pPr>
      <w:r w:rsidRPr="002419AA">
        <w:rPr>
          <w:rFonts w:asciiTheme="minorHAnsi" w:hAnsiTheme="minorHAnsi"/>
          <w:sz w:val="22"/>
          <w:szCs w:val="22"/>
        </w:rPr>
        <w:object w:dxaOrig="2601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pt;height:130.2pt" o:ole="">
            <v:imagedata r:id="rId9" o:title=""/>
          </v:shape>
          <o:OLEObject Type="Embed" ProgID="Photoshop.Image.7" ShapeID="_x0000_i1025" DrawAspect="Content" ObjectID="_1529913548" r:id="rId10">
            <o:FieldCodes>\s</o:FieldCodes>
          </o:OLEObject>
        </w:object>
      </w:r>
    </w:p>
    <w:p w:rsidR="00867E96" w:rsidRPr="00844D78" w:rsidRDefault="00DD65E6" w:rsidP="002419AA">
      <w:pPr>
        <w:jc w:val="center"/>
        <w:rPr>
          <w:rFonts w:asciiTheme="majorHAnsi" w:hAnsiTheme="majorHAnsi"/>
          <w:sz w:val="36"/>
          <w:szCs w:val="36"/>
          <w:lang w:val="sr-Cyrl-BA"/>
        </w:rPr>
      </w:pPr>
      <w:r>
        <w:rPr>
          <w:rFonts w:asciiTheme="majorHAnsi" w:hAnsiTheme="majorHAnsi"/>
          <w:sz w:val="36"/>
          <w:szCs w:val="36"/>
          <w:lang w:val="sr-Cyrl-BA"/>
        </w:rPr>
        <w:t>РЕПУБЛИКА</w:t>
      </w:r>
      <w:r w:rsidR="00867E96" w:rsidRPr="00844D78">
        <w:rPr>
          <w:rFonts w:asciiTheme="majorHAnsi" w:hAnsiTheme="majorHAnsi"/>
          <w:sz w:val="36"/>
          <w:szCs w:val="36"/>
          <w:lang w:val="sr-Cyrl-BA"/>
        </w:rPr>
        <w:t xml:space="preserve"> </w:t>
      </w:r>
      <w:r>
        <w:rPr>
          <w:rFonts w:asciiTheme="majorHAnsi" w:hAnsiTheme="majorHAnsi"/>
          <w:sz w:val="36"/>
          <w:szCs w:val="36"/>
          <w:lang w:val="sr-Cyrl-BA"/>
        </w:rPr>
        <w:t>СРПСКА</w:t>
      </w:r>
    </w:p>
    <w:p w:rsidR="00867E96" w:rsidRPr="00844D78" w:rsidRDefault="00DD65E6" w:rsidP="002419AA">
      <w:pPr>
        <w:jc w:val="center"/>
        <w:rPr>
          <w:rFonts w:asciiTheme="majorHAnsi" w:hAnsiTheme="majorHAnsi"/>
          <w:b/>
          <w:sz w:val="36"/>
          <w:szCs w:val="36"/>
          <w:lang w:val="sr-Cyrl-BA"/>
        </w:rPr>
      </w:pPr>
      <w:r>
        <w:rPr>
          <w:rFonts w:asciiTheme="majorHAnsi" w:hAnsiTheme="majorHAnsi"/>
          <w:b/>
          <w:sz w:val="36"/>
          <w:szCs w:val="36"/>
          <w:lang w:val="sr-Cyrl-BA"/>
        </w:rPr>
        <w:t>КОМИСИЈА</w:t>
      </w:r>
      <w:r w:rsidR="00867E96" w:rsidRPr="00844D78">
        <w:rPr>
          <w:rFonts w:asciiTheme="majorHAnsi" w:hAnsiTheme="majorHAnsi"/>
          <w:b/>
          <w:sz w:val="36"/>
          <w:szCs w:val="36"/>
          <w:lang w:val="sr-Cyrl-BA"/>
        </w:rPr>
        <w:t xml:space="preserve"> </w:t>
      </w:r>
      <w:r>
        <w:rPr>
          <w:rFonts w:asciiTheme="majorHAnsi" w:hAnsiTheme="majorHAnsi"/>
          <w:b/>
          <w:sz w:val="36"/>
          <w:szCs w:val="36"/>
          <w:lang w:val="sr-Cyrl-BA"/>
        </w:rPr>
        <w:t>ЗА</w:t>
      </w:r>
      <w:r w:rsidR="00867E96" w:rsidRPr="00844D78">
        <w:rPr>
          <w:rFonts w:asciiTheme="majorHAnsi" w:hAnsiTheme="majorHAnsi"/>
          <w:b/>
          <w:sz w:val="36"/>
          <w:szCs w:val="36"/>
          <w:lang w:val="sr-Cyrl-BA"/>
        </w:rPr>
        <w:t xml:space="preserve"> </w:t>
      </w:r>
      <w:r>
        <w:rPr>
          <w:rFonts w:asciiTheme="majorHAnsi" w:hAnsiTheme="majorHAnsi"/>
          <w:b/>
          <w:sz w:val="36"/>
          <w:szCs w:val="36"/>
          <w:lang w:val="sr-Cyrl-BA"/>
        </w:rPr>
        <w:t>КОНЦЕСИЈЕ</w:t>
      </w:r>
    </w:p>
    <w:p w:rsidR="00867E96" w:rsidRPr="002419AA" w:rsidRDefault="00867E96" w:rsidP="00867E96">
      <w:pPr>
        <w:jc w:val="center"/>
        <w:rPr>
          <w:rFonts w:asciiTheme="minorHAnsi" w:hAnsiTheme="minorHAnsi"/>
          <w:b/>
          <w:sz w:val="22"/>
          <w:szCs w:val="22"/>
          <w:lang w:val="sr-Cyrl-BA"/>
        </w:rPr>
      </w:pPr>
    </w:p>
    <w:p w:rsidR="00844D78" w:rsidRPr="00523B2F" w:rsidRDefault="00DD65E6" w:rsidP="00867E96">
      <w:pPr>
        <w:jc w:val="center"/>
        <w:rPr>
          <w:rFonts w:asciiTheme="minorHAnsi" w:hAnsiTheme="minorHAnsi" w:cs="Calibri"/>
          <w:sz w:val="26"/>
          <w:szCs w:val="26"/>
          <w:lang w:val="sr-Cyrl-BA"/>
        </w:rPr>
      </w:pPr>
      <w:r>
        <w:rPr>
          <w:rFonts w:asciiTheme="minorHAnsi" w:hAnsiTheme="minorHAnsi" w:cs="Calibri"/>
          <w:sz w:val="26"/>
          <w:szCs w:val="26"/>
          <w:lang w:val="sr-Cyrl-CS"/>
        </w:rPr>
        <w:t>Саве</w:t>
      </w:r>
      <w:r w:rsidR="00867E96" w:rsidRPr="00844D78">
        <w:rPr>
          <w:rFonts w:asciiTheme="minorHAnsi" w:hAnsiTheme="minorHAnsi" w:cs="Calibri"/>
          <w:sz w:val="26"/>
          <w:szCs w:val="26"/>
          <w:lang w:val="sr-Cyrl-CS"/>
        </w:rPr>
        <w:t xml:space="preserve"> </w:t>
      </w:r>
      <w:r>
        <w:rPr>
          <w:rFonts w:asciiTheme="minorHAnsi" w:hAnsiTheme="minorHAnsi" w:cs="Calibri"/>
          <w:sz w:val="26"/>
          <w:szCs w:val="26"/>
          <w:lang w:val="sr-Cyrl-CS"/>
        </w:rPr>
        <w:t>Мркаља</w:t>
      </w:r>
      <w:r w:rsidR="00867E96" w:rsidRPr="00844D78">
        <w:rPr>
          <w:rFonts w:asciiTheme="minorHAnsi" w:hAnsiTheme="minorHAnsi" w:cs="Calibri"/>
          <w:sz w:val="26"/>
          <w:szCs w:val="26"/>
          <w:lang w:val="sr-Cyrl-CS"/>
        </w:rPr>
        <w:t xml:space="preserve"> </w:t>
      </w:r>
      <w:r>
        <w:rPr>
          <w:rFonts w:asciiTheme="minorHAnsi" w:hAnsiTheme="minorHAnsi" w:cs="Calibri"/>
          <w:sz w:val="26"/>
          <w:szCs w:val="26"/>
          <w:lang w:val="sr-Cyrl-CS"/>
        </w:rPr>
        <w:t>број</w:t>
      </w:r>
      <w:r w:rsidR="00867E96" w:rsidRPr="00844D78">
        <w:rPr>
          <w:rFonts w:asciiTheme="minorHAnsi" w:hAnsiTheme="minorHAnsi" w:cs="Calibri"/>
          <w:sz w:val="26"/>
          <w:szCs w:val="26"/>
          <w:lang w:val="sr-Cyrl-CS"/>
        </w:rPr>
        <w:t xml:space="preserve"> 16, </w:t>
      </w:r>
      <w:r>
        <w:rPr>
          <w:rFonts w:asciiTheme="minorHAnsi" w:hAnsiTheme="minorHAnsi" w:cs="Calibri"/>
          <w:sz w:val="26"/>
          <w:szCs w:val="26"/>
          <w:lang w:val="sr-Cyrl-CS"/>
        </w:rPr>
        <w:t>тел</w:t>
      </w:r>
      <w:r w:rsidR="00027754">
        <w:rPr>
          <w:rFonts w:asciiTheme="minorHAnsi" w:hAnsiTheme="minorHAnsi" w:cs="Calibri"/>
          <w:sz w:val="26"/>
          <w:szCs w:val="26"/>
        </w:rPr>
        <w:t>.</w:t>
      </w:r>
      <w:r w:rsidR="00867E96" w:rsidRPr="00844D78">
        <w:rPr>
          <w:rFonts w:asciiTheme="minorHAnsi" w:hAnsiTheme="minorHAnsi" w:cs="Calibri"/>
          <w:sz w:val="26"/>
          <w:szCs w:val="26"/>
          <w:lang w:val="sr-Cyrl-BA"/>
        </w:rPr>
        <w:t>:</w:t>
      </w:r>
      <w:r w:rsidR="00867E96" w:rsidRPr="00844D78">
        <w:rPr>
          <w:rFonts w:asciiTheme="minorHAnsi" w:hAnsiTheme="minorHAnsi" w:cs="Calibri"/>
          <w:sz w:val="26"/>
          <w:szCs w:val="26"/>
          <w:lang w:val="sr-Cyrl-CS"/>
        </w:rPr>
        <w:t xml:space="preserve"> 051/490</w:t>
      </w:r>
      <w:r w:rsidR="00867E96" w:rsidRPr="00844D78">
        <w:rPr>
          <w:rFonts w:asciiTheme="minorHAnsi" w:hAnsiTheme="minorHAnsi" w:cs="Calibri"/>
          <w:sz w:val="26"/>
          <w:szCs w:val="26"/>
          <w:lang w:val="sr-Cyrl-BA"/>
        </w:rPr>
        <w:t>-890,</w:t>
      </w:r>
      <w:r w:rsidR="00867E96" w:rsidRPr="00844D78">
        <w:rPr>
          <w:rFonts w:asciiTheme="minorHAnsi" w:hAnsiTheme="minorHAnsi" w:cs="Calibri"/>
          <w:sz w:val="26"/>
          <w:szCs w:val="26"/>
          <w:lang w:val="sr-Cyrl-CS"/>
        </w:rPr>
        <w:t xml:space="preserve"> </w:t>
      </w:r>
      <w:r>
        <w:rPr>
          <w:rFonts w:asciiTheme="minorHAnsi" w:hAnsiTheme="minorHAnsi" w:cs="Calibri"/>
          <w:sz w:val="26"/>
          <w:szCs w:val="26"/>
          <w:lang w:val="sr-Cyrl-BA"/>
        </w:rPr>
        <w:t>факс</w:t>
      </w:r>
      <w:r w:rsidR="00867E96" w:rsidRPr="00844D78">
        <w:rPr>
          <w:rFonts w:asciiTheme="minorHAnsi" w:hAnsiTheme="minorHAnsi" w:cs="Calibri"/>
          <w:sz w:val="26"/>
          <w:szCs w:val="26"/>
          <w:lang w:val="sr-Cyrl-BA"/>
        </w:rPr>
        <w:t xml:space="preserve">: 051/490-481  </w:t>
      </w:r>
    </w:p>
    <w:p w:rsidR="00867E96" w:rsidRPr="00844D78" w:rsidRDefault="00DD65E6" w:rsidP="00867E96">
      <w:pPr>
        <w:jc w:val="center"/>
        <w:rPr>
          <w:rFonts w:asciiTheme="minorHAnsi" w:hAnsiTheme="minorHAnsi" w:cs="Calibri"/>
          <w:sz w:val="26"/>
          <w:szCs w:val="26"/>
          <w:lang w:val="sr-Cyrl-BA"/>
        </w:rPr>
      </w:pPr>
      <w:r>
        <w:rPr>
          <w:rFonts w:asciiTheme="minorHAnsi" w:hAnsiTheme="minorHAnsi" w:cs="Calibri"/>
          <w:sz w:val="26"/>
          <w:szCs w:val="26"/>
          <w:lang w:val="de-DE"/>
        </w:rPr>
        <w:t>Е</w:t>
      </w:r>
      <w:r w:rsidR="00867E96" w:rsidRPr="00844D78">
        <w:rPr>
          <w:rFonts w:asciiTheme="minorHAnsi" w:hAnsiTheme="minorHAnsi" w:cs="Calibri"/>
          <w:sz w:val="26"/>
          <w:szCs w:val="26"/>
          <w:lang w:val="sr-Cyrl-BA"/>
        </w:rPr>
        <w:t>-</w:t>
      </w:r>
      <w:r>
        <w:rPr>
          <w:rFonts w:asciiTheme="minorHAnsi" w:hAnsiTheme="minorHAnsi" w:cs="Calibri"/>
          <w:sz w:val="26"/>
          <w:szCs w:val="26"/>
          <w:lang w:val="de-DE"/>
        </w:rPr>
        <w:t>маил</w:t>
      </w:r>
      <w:r w:rsidR="00867E96" w:rsidRPr="00844D78">
        <w:rPr>
          <w:rFonts w:asciiTheme="minorHAnsi" w:hAnsiTheme="minorHAnsi" w:cs="Calibri"/>
          <w:sz w:val="26"/>
          <w:szCs w:val="26"/>
          <w:lang w:val="sr-Cyrl-BA"/>
        </w:rPr>
        <w:t xml:space="preserve">: </w:t>
      </w:r>
      <w:r>
        <w:rPr>
          <w:rFonts w:asciiTheme="minorHAnsi" w:hAnsiTheme="minorHAnsi" w:cs="Calibri"/>
          <w:sz w:val="26"/>
          <w:szCs w:val="26"/>
          <w:lang w:val="sr-Latn-CS"/>
        </w:rPr>
        <w:t>комисија</w:t>
      </w:r>
      <w:r w:rsidR="00867E96" w:rsidRPr="00844D78">
        <w:rPr>
          <w:rFonts w:asciiTheme="minorHAnsi" w:hAnsiTheme="minorHAnsi" w:cs="Calibri"/>
          <w:sz w:val="26"/>
          <w:szCs w:val="26"/>
          <w:lang w:val="sr-Cyrl-BA"/>
        </w:rPr>
        <w:t>@</w:t>
      </w:r>
      <w:r>
        <w:rPr>
          <w:rFonts w:asciiTheme="minorHAnsi" w:hAnsiTheme="minorHAnsi" w:cs="Calibri"/>
          <w:sz w:val="26"/>
          <w:szCs w:val="26"/>
          <w:lang w:val="de-DE"/>
        </w:rPr>
        <w:t>концесије</w:t>
      </w:r>
      <w:r w:rsidR="00867E96" w:rsidRPr="00844D78">
        <w:rPr>
          <w:rFonts w:asciiTheme="minorHAnsi" w:hAnsiTheme="minorHAnsi" w:cs="Calibri"/>
          <w:sz w:val="26"/>
          <w:szCs w:val="26"/>
          <w:lang w:val="sr-Cyrl-BA"/>
        </w:rPr>
        <w:t>-</w:t>
      </w:r>
      <w:r>
        <w:rPr>
          <w:rFonts w:asciiTheme="minorHAnsi" w:hAnsiTheme="minorHAnsi" w:cs="Calibri"/>
          <w:sz w:val="26"/>
          <w:szCs w:val="26"/>
          <w:lang w:val="de-DE"/>
        </w:rPr>
        <w:t>рс</w:t>
      </w:r>
      <w:r w:rsidR="00867E96" w:rsidRPr="00844D78">
        <w:rPr>
          <w:rFonts w:asciiTheme="minorHAnsi" w:hAnsiTheme="minorHAnsi" w:cs="Calibri"/>
          <w:sz w:val="26"/>
          <w:szCs w:val="26"/>
          <w:lang w:val="sr-Cyrl-BA"/>
        </w:rPr>
        <w:t>.</w:t>
      </w:r>
      <w:r>
        <w:rPr>
          <w:rFonts w:asciiTheme="minorHAnsi" w:hAnsiTheme="minorHAnsi" w:cs="Calibri"/>
          <w:sz w:val="26"/>
          <w:szCs w:val="26"/>
          <w:lang w:val="de-DE"/>
        </w:rPr>
        <w:t>орг</w:t>
      </w:r>
    </w:p>
    <w:p w:rsidR="00867E96" w:rsidRPr="002419AA" w:rsidRDefault="00867E96" w:rsidP="00867E96">
      <w:pPr>
        <w:jc w:val="center"/>
        <w:rPr>
          <w:rFonts w:asciiTheme="minorHAnsi" w:hAnsiTheme="minorHAnsi" w:cs="Calibri"/>
          <w:b/>
          <w:sz w:val="22"/>
          <w:szCs w:val="22"/>
          <w:lang w:val="sr-Cyrl-BA"/>
        </w:rPr>
      </w:pPr>
    </w:p>
    <w:p w:rsidR="00867E96" w:rsidRPr="00232CF6" w:rsidRDefault="00867E96" w:rsidP="00867E96">
      <w:pPr>
        <w:rPr>
          <w:rFonts w:asciiTheme="minorHAnsi" w:hAnsiTheme="minorHAnsi"/>
          <w:sz w:val="22"/>
          <w:szCs w:val="22"/>
          <w:lang w:val="sr-Cyrl-BA"/>
        </w:rPr>
      </w:pPr>
    </w:p>
    <w:p w:rsidR="00867E96" w:rsidRPr="002419AA" w:rsidRDefault="00867E96" w:rsidP="00867E96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867E96" w:rsidRPr="00232CF6" w:rsidRDefault="00867E96" w:rsidP="00867E96">
      <w:pPr>
        <w:rPr>
          <w:rFonts w:asciiTheme="minorHAnsi" w:hAnsiTheme="minorHAnsi"/>
          <w:b/>
          <w:sz w:val="22"/>
          <w:szCs w:val="22"/>
          <w:lang w:val="sr-Cyrl-BA"/>
        </w:rPr>
      </w:pPr>
    </w:p>
    <w:p w:rsidR="00867E96" w:rsidRPr="00232CF6" w:rsidRDefault="00867E96" w:rsidP="00867E96">
      <w:pPr>
        <w:rPr>
          <w:rFonts w:asciiTheme="minorHAnsi" w:hAnsiTheme="minorHAnsi"/>
          <w:b/>
          <w:sz w:val="22"/>
          <w:szCs w:val="22"/>
          <w:lang w:val="sr-Cyrl-BA"/>
        </w:rPr>
      </w:pPr>
    </w:p>
    <w:p w:rsidR="00867E96" w:rsidRPr="00232CF6" w:rsidRDefault="00867E96" w:rsidP="00867E96">
      <w:pPr>
        <w:rPr>
          <w:rFonts w:asciiTheme="minorHAnsi" w:hAnsiTheme="minorHAnsi"/>
          <w:b/>
          <w:sz w:val="22"/>
          <w:szCs w:val="22"/>
          <w:lang w:val="sr-Cyrl-BA"/>
        </w:rPr>
      </w:pPr>
    </w:p>
    <w:p w:rsidR="00867E96" w:rsidRPr="00232CF6" w:rsidRDefault="00867E96" w:rsidP="00867E96">
      <w:pPr>
        <w:rPr>
          <w:rFonts w:asciiTheme="minorHAnsi" w:hAnsiTheme="minorHAnsi"/>
          <w:b/>
          <w:sz w:val="22"/>
          <w:szCs w:val="22"/>
          <w:lang w:val="sr-Cyrl-BA"/>
        </w:rPr>
      </w:pPr>
    </w:p>
    <w:p w:rsidR="00867E96" w:rsidRPr="00232CF6" w:rsidRDefault="00867E96" w:rsidP="00867E96">
      <w:pPr>
        <w:rPr>
          <w:rFonts w:asciiTheme="minorHAnsi" w:hAnsiTheme="minorHAnsi"/>
          <w:b/>
          <w:sz w:val="22"/>
          <w:szCs w:val="22"/>
          <w:lang w:val="sr-Cyrl-BA"/>
        </w:rPr>
      </w:pPr>
    </w:p>
    <w:p w:rsidR="00867E96" w:rsidRPr="00232CF6" w:rsidRDefault="00867E96" w:rsidP="00867E96">
      <w:pPr>
        <w:rPr>
          <w:rFonts w:asciiTheme="minorHAnsi" w:hAnsiTheme="minorHAnsi"/>
          <w:b/>
          <w:sz w:val="22"/>
          <w:szCs w:val="22"/>
          <w:lang w:val="sr-Cyrl-BA"/>
        </w:rPr>
      </w:pPr>
    </w:p>
    <w:p w:rsidR="00867E96" w:rsidRPr="00EC5A82" w:rsidRDefault="00867E96" w:rsidP="00867E96">
      <w:pPr>
        <w:rPr>
          <w:rFonts w:asciiTheme="minorHAnsi" w:hAnsiTheme="minorHAnsi"/>
          <w:b/>
          <w:sz w:val="22"/>
          <w:szCs w:val="22"/>
          <w:lang w:val="sr-Latn-BA"/>
        </w:rPr>
      </w:pPr>
    </w:p>
    <w:p w:rsidR="00867E96" w:rsidRPr="002419AA" w:rsidRDefault="00867E96" w:rsidP="00867E96">
      <w:pPr>
        <w:jc w:val="center"/>
        <w:rPr>
          <w:rFonts w:asciiTheme="minorHAnsi" w:hAnsiTheme="minorHAnsi"/>
          <w:b/>
          <w:sz w:val="22"/>
          <w:szCs w:val="22"/>
          <w:lang w:val="sr-Cyrl-BA"/>
        </w:rPr>
      </w:pPr>
    </w:p>
    <w:p w:rsidR="00867E96" w:rsidRPr="00844D78" w:rsidRDefault="00DD65E6" w:rsidP="00867E96">
      <w:pPr>
        <w:jc w:val="center"/>
        <w:rPr>
          <w:rFonts w:asciiTheme="majorHAnsi" w:hAnsiTheme="majorHAnsi"/>
          <w:b/>
          <w:sz w:val="26"/>
          <w:szCs w:val="26"/>
          <w:lang w:val="sr-Cyrl-BA"/>
        </w:rPr>
      </w:pPr>
      <w:r>
        <w:rPr>
          <w:rFonts w:asciiTheme="majorHAnsi" w:hAnsiTheme="majorHAnsi"/>
          <w:b/>
          <w:sz w:val="26"/>
          <w:szCs w:val="26"/>
          <w:lang w:val="sr-Cyrl-BA"/>
        </w:rPr>
        <w:t>ИЗВЈЕШТАЈ</w:t>
      </w:r>
    </w:p>
    <w:p w:rsidR="00EA19CA" w:rsidRPr="00100274" w:rsidRDefault="00DD65E6" w:rsidP="00100274">
      <w:pPr>
        <w:jc w:val="center"/>
        <w:rPr>
          <w:rFonts w:asciiTheme="majorHAnsi" w:hAnsiTheme="majorHAnsi"/>
          <w:b/>
          <w:sz w:val="26"/>
          <w:szCs w:val="26"/>
          <w:lang w:val="sr-Latn-CS"/>
        </w:rPr>
      </w:pPr>
      <w:r>
        <w:rPr>
          <w:rFonts w:asciiTheme="majorHAnsi" w:hAnsiTheme="majorHAnsi"/>
          <w:b/>
          <w:sz w:val="26"/>
          <w:szCs w:val="26"/>
          <w:lang w:val="sr-Cyrl-BA"/>
        </w:rPr>
        <w:t>О</w:t>
      </w:r>
      <w:r w:rsidR="00867E96" w:rsidRPr="00844D78">
        <w:rPr>
          <w:rFonts w:asciiTheme="majorHAnsi" w:hAnsiTheme="majorHAnsi"/>
          <w:b/>
          <w:sz w:val="26"/>
          <w:szCs w:val="26"/>
          <w:lang w:val="sr-Cyrl-BA"/>
        </w:rPr>
        <w:t xml:space="preserve"> </w:t>
      </w:r>
      <w:r>
        <w:rPr>
          <w:rFonts w:asciiTheme="majorHAnsi" w:hAnsiTheme="majorHAnsi"/>
          <w:b/>
          <w:sz w:val="26"/>
          <w:szCs w:val="26"/>
          <w:lang w:val="sr-Cyrl-BA"/>
        </w:rPr>
        <w:t>РАДУ</w:t>
      </w:r>
      <w:r w:rsidR="00867E96" w:rsidRPr="00844D78">
        <w:rPr>
          <w:rFonts w:asciiTheme="majorHAnsi" w:hAnsiTheme="majorHAnsi"/>
          <w:b/>
          <w:sz w:val="26"/>
          <w:szCs w:val="26"/>
          <w:lang w:val="sr-Cyrl-BA"/>
        </w:rPr>
        <w:t xml:space="preserve"> </w:t>
      </w:r>
      <w:r>
        <w:rPr>
          <w:rFonts w:asciiTheme="majorHAnsi" w:hAnsiTheme="majorHAnsi"/>
          <w:b/>
          <w:sz w:val="26"/>
          <w:szCs w:val="26"/>
          <w:lang w:val="sr-Latn-CS"/>
        </w:rPr>
        <w:t>И</w:t>
      </w:r>
      <w:r w:rsidR="00EA19CA" w:rsidRPr="00B36C7E">
        <w:rPr>
          <w:rFonts w:asciiTheme="majorHAnsi" w:hAnsiTheme="majorHAnsi"/>
          <w:b/>
          <w:sz w:val="26"/>
          <w:szCs w:val="26"/>
          <w:lang w:val="sr-Latn-CS"/>
        </w:rPr>
        <w:t xml:space="preserve"> </w:t>
      </w:r>
      <w:r>
        <w:rPr>
          <w:rFonts w:asciiTheme="majorHAnsi" w:hAnsiTheme="majorHAnsi"/>
          <w:b/>
          <w:sz w:val="26"/>
          <w:szCs w:val="26"/>
          <w:lang w:val="sr-Cyrl-BA"/>
        </w:rPr>
        <w:t>ФИНАНСИЈСКИ</w:t>
      </w:r>
      <w:r w:rsidR="00EA19CA" w:rsidRPr="00B36C7E">
        <w:rPr>
          <w:rFonts w:asciiTheme="majorHAnsi" w:hAnsiTheme="majorHAnsi"/>
          <w:b/>
          <w:sz w:val="26"/>
          <w:szCs w:val="26"/>
          <w:lang w:val="sr-Cyrl-BA"/>
        </w:rPr>
        <w:t xml:space="preserve"> </w:t>
      </w:r>
      <w:r>
        <w:rPr>
          <w:rFonts w:asciiTheme="majorHAnsi" w:hAnsiTheme="majorHAnsi"/>
          <w:b/>
          <w:sz w:val="26"/>
          <w:szCs w:val="26"/>
          <w:lang w:val="sr-Cyrl-BA"/>
        </w:rPr>
        <w:t>ИЗВЈЕШТАЈ</w:t>
      </w:r>
      <w:r w:rsidR="00EA19CA" w:rsidRPr="00B36C7E">
        <w:rPr>
          <w:rFonts w:asciiTheme="majorHAnsi" w:hAnsiTheme="majorHAnsi"/>
          <w:b/>
          <w:sz w:val="26"/>
          <w:szCs w:val="26"/>
          <w:lang w:val="sr-Cyrl-BA"/>
        </w:rPr>
        <w:t xml:space="preserve"> </w:t>
      </w:r>
      <w:r>
        <w:rPr>
          <w:rFonts w:asciiTheme="majorHAnsi" w:hAnsiTheme="majorHAnsi"/>
          <w:b/>
          <w:sz w:val="26"/>
          <w:szCs w:val="26"/>
          <w:lang w:val="sr-Cyrl-BA"/>
        </w:rPr>
        <w:t>ЗА</w:t>
      </w:r>
      <w:r w:rsidR="00EA19CA" w:rsidRPr="00B36C7E">
        <w:rPr>
          <w:rFonts w:asciiTheme="majorHAnsi" w:hAnsiTheme="majorHAnsi"/>
          <w:b/>
          <w:sz w:val="26"/>
          <w:szCs w:val="26"/>
          <w:lang w:val="sr-Cyrl-BA"/>
        </w:rPr>
        <w:t xml:space="preserve"> 2015. </w:t>
      </w:r>
      <w:r>
        <w:rPr>
          <w:rFonts w:asciiTheme="majorHAnsi" w:hAnsiTheme="majorHAnsi"/>
          <w:b/>
          <w:sz w:val="26"/>
          <w:szCs w:val="26"/>
          <w:lang w:val="sr-Cyrl-BA"/>
        </w:rPr>
        <w:t>ГОДИНУ</w:t>
      </w:r>
    </w:p>
    <w:p w:rsidR="00867E96" w:rsidRPr="002419AA" w:rsidRDefault="00867E96" w:rsidP="00867E96">
      <w:pPr>
        <w:jc w:val="center"/>
        <w:rPr>
          <w:rFonts w:asciiTheme="minorHAnsi" w:hAnsiTheme="minorHAnsi"/>
          <w:b/>
          <w:sz w:val="22"/>
          <w:szCs w:val="22"/>
          <w:lang w:val="sr-Cyrl-BA"/>
        </w:rPr>
      </w:pPr>
    </w:p>
    <w:p w:rsidR="00867E96" w:rsidRPr="002419AA" w:rsidRDefault="00867E96" w:rsidP="00867E96">
      <w:pPr>
        <w:jc w:val="center"/>
        <w:rPr>
          <w:rFonts w:asciiTheme="minorHAnsi" w:hAnsiTheme="minorHAnsi"/>
          <w:b/>
          <w:sz w:val="22"/>
          <w:szCs w:val="22"/>
          <w:lang w:val="sr-Cyrl-BA"/>
        </w:rPr>
      </w:pPr>
    </w:p>
    <w:p w:rsidR="00867E96" w:rsidRPr="002419AA" w:rsidRDefault="00867E96" w:rsidP="00867E96">
      <w:pPr>
        <w:jc w:val="center"/>
        <w:rPr>
          <w:rFonts w:asciiTheme="minorHAnsi" w:hAnsiTheme="minorHAnsi"/>
          <w:b/>
          <w:sz w:val="22"/>
          <w:szCs w:val="22"/>
          <w:lang w:val="sr-Cyrl-BA"/>
        </w:rPr>
      </w:pPr>
    </w:p>
    <w:p w:rsidR="00867E96" w:rsidRPr="002419AA" w:rsidRDefault="00867E96" w:rsidP="00867E96">
      <w:pPr>
        <w:jc w:val="center"/>
        <w:rPr>
          <w:rFonts w:asciiTheme="minorHAnsi" w:hAnsiTheme="minorHAnsi"/>
          <w:b/>
          <w:sz w:val="22"/>
          <w:szCs w:val="22"/>
          <w:lang w:val="sr-Cyrl-BA"/>
        </w:rPr>
      </w:pPr>
    </w:p>
    <w:p w:rsidR="00867E96" w:rsidRPr="002419AA" w:rsidRDefault="00867E96" w:rsidP="00867E96">
      <w:pPr>
        <w:jc w:val="center"/>
        <w:rPr>
          <w:rFonts w:asciiTheme="minorHAnsi" w:hAnsiTheme="minorHAnsi"/>
          <w:b/>
          <w:sz w:val="22"/>
          <w:szCs w:val="22"/>
          <w:lang w:val="sr-Cyrl-BA"/>
        </w:rPr>
      </w:pPr>
    </w:p>
    <w:p w:rsidR="00867E96" w:rsidRPr="002419AA" w:rsidRDefault="00867E96" w:rsidP="00867E96">
      <w:pPr>
        <w:jc w:val="center"/>
        <w:rPr>
          <w:rFonts w:asciiTheme="minorHAnsi" w:hAnsiTheme="minorHAnsi"/>
          <w:b/>
          <w:sz w:val="22"/>
          <w:szCs w:val="22"/>
          <w:lang w:val="sr-Cyrl-BA"/>
        </w:rPr>
      </w:pPr>
    </w:p>
    <w:p w:rsidR="00867E96" w:rsidRPr="002419AA" w:rsidRDefault="00867E96" w:rsidP="00867E96">
      <w:pPr>
        <w:rPr>
          <w:rFonts w:asciiTheme="minorHAnsi" w:hAnsiTheme="minorHAnsi"/>
          <w:b/>
          <w:sz w:val="22"/>
          <w:szCs w:val="22"/>
          <w:lang w:val="sr-Latn-BA"/>
        </w:rPr>
      </w:pPr>
    </w:p>
    <w:p w:rsidR="00867E96" w:rsidRPr="002419AA" w:rsidRDefault="00867E96" w:rsidP="00867E96">
      <w:pPr>
        <w:rPr>
          <w:rFonts w:asciiTheme="minorHAnsi" w:hAnsiTheme="minorHAnsi"/>
          <w:b/>
          <w:sz w:val="22"/>
          <w:szCs w:val="22"/>
          <w:lang w:val="sr-Latn-BA"/>
        </w:rPr>
      </w:pPr>
    </w:p>
    <w:p w:rsidR="00867E96" w:rsidRPr="002419AA" w:rsidRDefault="00867E96" w:rsidP="00867E96">
      <w:pPr>
        <w:rPr>
          <w:rFonts w:asciiTheme="minorHAnsi" w:hAnsiTheme="minorHAnsi"/>
          <w:b/>
          <w:sz w:val="22"/>
          <w:szCs w:val="22"/>
          <w:lang w:val="sr-Latn-BA"/>
        </w:rPr>
      </w:pPr>
    </w:p>
    <w:p w:rsidR="00867E96" w:rsidRPr="002419AA" w:rsidRDefault="00867E96" w:rsidP="00867E96">
      <w:pPr>
        <w:rPr>
          <w:rFonts w:asciiTheme="minorHAnsi" w:hAnsiTheme="minorHAnsi"/>
          <w:b/>
          <w:sz w:val="22"/>
          <w:szCs w:val="22"/>
          <w:lang w:val="sr-Latn-BA"/>
        </w:rPr>
      </w:pPr>
    </w:p>
    <w:p w:rsidR="00867E96" w:rsidRPr="002419AA" w:rsidRDefault="00867E96" w:rsidP="00867E96">
      <w:pPr>
        <w:rPr>
          <w:rFonts w:asciiTheme="minorHAnsi" w:hAnsiTheme="minorHAnsi"/>
          <w:b/>
          <w:sz w:val="22"/>
          <w:szCs w:val="22"/>
          <w:lang w:val="sr-Latn-BA"/>
        </w:rPr>
      </w:pPr>
    </w:p>
    <w:p w:rsidR="00867E96" w:rsidRPr="002419AA" w:rsidRDefault="00867E96" w:rsidP="00867E96">
      <w:pPr>
        <w:rPr>
          <w:rFonts w:asciiTheme="minorHAnsi" w:hAnsiTheme="minorHAnsi"/>
          <w:b/>
          <w:sz w:val="22"/>
          <w:szCs w:val="22"/>
          <w:lang w:val="sr-Latn-BA"/>
        </w:rPr>
      </w:pPr>
    </w:p>
    <w:p w:rsidR="00867E96" w:rsidRPr="002419AA" w:rsidRDefault="00867E96" w:rsidP="00867E96">
      <w:pPr>
        <w:rPr>
          <w:rFonts w:asciiTheme="minorHAnsi" w:hAnsiTheme="minorHAnsi"/>
          <w:b/>
          <w:sz w:val="22"/>
          <w:szCs w:val="22"/>
          <w:lang w:val="sr-Latn-BA"/>
        </w:rPr>
      </w:pPr>
    </w:p>
    <w:p w:rsidR="00867E96" w:rsidRPr="002419AA" w:rsidRDefault="00867E96" w:rsidP="00867E96">
      <w:pPr>
        <w:rPr>
          <w:rFonts w:asciiTheme="minorHAnsi" w:hAnsiTheme="minorHAnsi"/>
          <w:b/>
          <w:sz w:val="22"/>
          <w:szCs w:val="22"/>
          <w:lang w:val="sr-Latn-BA"/>
        </w:rPr>
      </w:pPr>
    </w:p>
    <w:p w:rsidR="00867E96" w:rsidRPr="002419AA" w:rsidRDefault="00867E96" w:rsidP="00867E96">
      <w:pPr>
        <w:rPr>
          <w:rFonts w:asciiTheme="minorHAnsi" w:hAnsiTheme="minorHAnsi"/>
          <w:b/>
          <w:sz w:val="22"/>
          <w:szCs w:val="22"/>
          <w:lang w:val="sr-Latn-BA"/>
        </w:rPr>
      </w:pPr>
    </w:p>
    <w:p w:rsidR="00867E96" w:rsidRPr="002419AA" w:rsidRDefault="00867E96" w:rsidP="00867E96">
      <w:pPr>
        <w:rPr>
          <w:rFonts w:asciiTheme="minorHAnsi" w:hAnsiTheme="minorHAnsi"/>
          <w:b/>
          <w:sz w:val="22"/>
          <w:szCs w:val="22"/>
          <w:lang w:val="sr-Latn-BA"/>
        </w:rPr>
      </w:pPr>
    </w:p>
    <w:p w:rsidR="00867E96" w:rsidRPr="002419AA" w:rsidRDefault="00867E96" w:rsidP="00867E96">
      <w:pPr>
        <w:rPr>
          <w:rFonts w:asciiTheme="minorHAnsi" w:hAnsiTheme="minorHAnsi"/>
          <w:b/>
          <w:sz w:val="22"/>
          <w:szCs w:val="22"/>
          <w:lang w:val="sr-Latn-BA"/>
        </w:rPr>
      </w:pPr>
    </w:p>
    <w:p w:rsidR="00867E96" w:rsidRPr="002419AA" w:rsidRDefault="00867E96" w:rsidP="00867E96">
      <w:pPr>
        <w:rPr>
          <w:rFonts w:asciiTheme="minorHAnsi" w:hAnsiTheme="minorHAnsi"/>
          <w:b/>
          <w:sz w:val="22"/>
          <w:szCs w:val="22"/>
          <w:lang w:val="sr-Cyrl-BA"/>
        </w:rPr>
      </w:pPr>
    </w:p>
    <w:p w:rsidR="00AB2473" w:rsidRDefault="00DD65E6" w:rsidP="00867E96">
      <w:pPr>
        <w:jc w:val="center"/>
        <w:rPr>
          <w:rFonts w:asciiTheme="majorHAnsi" w:hAnsiTheme="majorHAnsi"/>
          <w:b/>
          <w:sz w:val="26"/>
          <w:szCs w:val="26"/>
          <w:lang w:val="sr-Cyrl-BA"/>
        </w:rPr>
        <w:sectPr w:rsidR="00AB2473" w:rsidSect="00B72ABD">
          <w:footerReference w:type="default" r:id="rId11"/>
          <w:pgSz w:w="11907" w:h="16840" w:code="9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Theme="majorHAnsi" w:hAnsiTheme="majorHAnsi"/>
          <w:b/>
          <w:sz w:val="26"/>
          <w:szCs w:val="26"/>
          <w:lang w:val="sr-Cyrl-BA"/>
        </w:rPr>
        <w:t>Бања</w:t>
      </w:r>
      <w:r w:rsidR="00867E96" w:rsidRPr="00844D78">
        <w:rPr>
          <w:rFonts w:asciiTheme="majorHAnsi" w:hAnsiTheme="majorHAnsi"/>
          <w:b/>
          <w:sz w:val="26"/>
          <w:szCs w:val="26"/>
          <w:lang w:val="sr-Cyrl-BA"/>
        </w:rPr>
        <w:t xml:space="preserve"> </w:t>
      </w:r>
      <w:r>
        <w:rPr>
          <w:rFonts w:asciiTheme="majorHAnsi" w:hAnsiTheme="majorHAnsi"/>
          <w:b/>
          <w:sz w:val="26"/>
          <w:szCs w:val="26"/>
          <w:lang w:val="sr-Cyrl-BA"/>
        </w:rPr>
        <w:t>Лука</w:t>
      </w:r>
      <w:r w:rsidR="00867E96" w:rsidRPr="00844D78">
        <w:rPr>
          <w:rFonts w:asciiTheme="majorHAnsi" w:hAnsiTheme="majorHAnsi"/>
          <w:b/>
          <w:sz w:val="26"/>
          <w:szCs w:val="26"/>
          <w:lang w:val="sr-Cyrl-BA"/>
        </w:rPr>
        <w:t xml:space="preserve">, </w:t>
      </w:r>
      <w:r>
        <w:rPr>
          <w:rFonts w:asciiTheme="majorHAnsi" w:hAnsiTheme="majorHAnsi"/>
          <w:b/>
          <w:sz w:val="26"/>
          <w:szCs w:val="26"/>
          <w:lang w:val="sr-Cyrl-BA"/>
        </w:rPr>
        <w:t>Април</w:t>
      </w:r>
      <w:r w:rsidR="00867E96" w:rsidRPr="00844D78">
        <w:rPr>
          <w:rFonts w:asciiTheme="majorHAnsi" w:hAnsiTheme="majorHAnsi"/>
          <w:b/>
          <w:sz w:val="26"/>
          <w:szCs w:val="26"/>
          <w:lang w:val="sr-Cyrl-BA"/>
        </w:rPr>
        <w:t xml:space="preserve"> 201</w:t>
      </w:r>
      <w:r w:rsidR="0065080F">
        <w:rPr>
          <w:rFonts w:asciiTheme="majorHAnsi" w:hAnsiTheme="majorHAnsi"/>
          <w:b/>
          <w:sz w:val="26"/>
          <w:szCs w:val="26"/>
        </w:rPr>
        <w:t>6</w:t>
      </w:r>
      <w:r w:rsidR="00867E96" w:rsidRPr="00844D78">
        <w:rPr>
          <w:rFonts w:asciiTheme="majorHAnsi" w:hAnsiTheme="majorHAnsi"/>
          <w:b/>
          <w:sz w:val="26"/>
          <w:szCs w:val="26"/>
          <w:lang w:val="sr-Cyrl-BA"/>
        </w:rPr>
        <w:t xml:space="preserve">. </w:t>
      </w:r>
      <w:r>
        <w:rPr>
          <w:rFonts w:asciiTheme="majorHAnsi" w:hAnsiTheme="majorHAnsi"/>
          <w:b/>
          <w:sz w:val="26"/>
          <w:szCs w:val="26"/>
          <w:lang w:val="sr-Cyrl-BA"/>
        </w:rPr>
        <w:t>године</w:t>
      </w:r>
    </w:p>
    <w:p w:rsidR="00E2313A" w:rsidRPr="006B6F4B" w:rsidRDefault="00DD65E6" w:rsidP="00E2313A">
      <w:pPr>
        <w:rPr>
          <w:rFonts w:asciiTheme="majorHAnsi" w:hAnsiTheme="majorHAnsi"/>
          <w:b/>
          <w:noProof/>
          <w:sz w:val="26"/>
          <w:szCs w:val="26"/>
          <w:lang w:val="sr-Cyrl-BA"/>
        </w:rPr>
      </w:pPr>
      <w:r>
        <w:rPr>
          <w:rFonts w:asciiTheme="majorHAnsi" w:hAnsiTheme="majorHAnsi"/>
          <w:b/>
          <w:noProof/>
          <w:sz w:val="26"/>
          <w:szCs w:val="26"/>
          <w:lang w:val="sr-Cyrl-CS"/>
        </w:rPr>
        <w:lastRenderedPageBreak/>
        <w:t>САДРЖАЈ</w:t>
      </w:r>
      <w:r w:rsidR="006B6F4B">
        <w:rPr>
          <w:rFonts w:asciiTheme="majorHAnsi" w:hAnsiTheme="majorHAnsi"/>
          <w:b/>
          <w:noProof/>
          <w:sz w:val="26"/>
          <w:szCs w:val="26"/>
          <w:lang w:val="sr-Cyrl-CS"/>
        </w:rPr>
        <w:t>:</w:t>
      </w:r>
    </w:p>
    <w:p w:rsidR="00E2313A" w:rsidRPr="009C5187" w:rsidRDefault="00E2313A" w:rsidP="00E2313A">
      <w:pPr>
        <w:rPr>
          <w:rFonts w:ascii="Calibri" w:hAnsi="Calibri"/>
          <w:b/>
          <w:noProof/>
          <w:sz w:val="22"/>
          <w:szCs w:val="22"/>
          <w:lang w:val="sr-Cyrl-CS"/>
        </w:rPr>
      </w:pPr>
    </w:p>
    <w:p w:rsidR="00D15F1A" w:rsidRDefault="00333E74">
      <w:pPr>
        <w:pStyle w:val="TOC1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/>
      </w:r>
      <w:r w:rsidR="00D15F1A">
        <w:rPr>
          <w:rFonts w:ascii="Calibri" w:hAnsi="Calibri"/>
          <w:sz w:val="22"/>
          <w:szCs w:val="22"/>
        </w:rPr>
        <w:instrText xml:space="preserve"> TOC \o "1-3" \h \z \u </w:instrText>
      </w:r>
      <w:r>
        <w:rPr>
          <w:rFonts w:ascii="Calibri" w:hAnsi="Calibri"/>
          <w:sz w:val="22"/>
          <w:szCs w:val="22"/>
        </w:rPr>
        <w:fldChar w:fldCharType="separate"/>
      </w:r>
      <w:hyperlink w:anchor="_Toc449404302" w:history="1">
        <w:r w:rsidR="00D15F1A" w:rsidRPr="00D06D8A">
          <w:rPr>
            <w:rStyle w:val="Hyperlink"/>
            <w:noProof/>
          </w:rPr>
          <w:t xml:space="preserve">1.  </w:t>
        </w:r>
        <w:r w:rsidR="00DD65E6">
          <w:rPr>
            <w:rStyle w:val="Hyperlink"/>
            <w:noProof/>
          </w:rPr>
          <w:t>УВОД</w:t>
        </w:r>
        <w:r w:rsidR="00D15F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15F1A" w:rsidRDefault="00075B64">
      <w:pPr>
        <w:pStyle w:val="TOC1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03" w:history="1">
        <w:r w:rsidR="00D15F1A" w:rsidRPr="00D06D8A">
          <w:rPr>
            <w:rStyle w:val="Hyperlink"/>
            <w:noProof/>
          </w:rPr>
          <w:t xml:space="preserve">2.  </w:t>
        </w:r>
        <w:r w:rsidR="00DD65E6">
          <w:rPr>
            <w:rStyle w:val="Hyperlink"/>
            <w:noProof/>
          </w:rPr>
          <w:t>ПРАВНИ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ОКВИР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КОНЦЕСИЈА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У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РЕПУБЛИЦИ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СРПСКОЈ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_Toc449404303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6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2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04" w:history="1">
        <w:r w:rsidR="00D15F1A" w:rsidRPr="00D06D8A">
          <w:rPr>
            <w:rStyle w:val="Hyperlink"/>
            <w:noProof/>
          </w:rPr>
          <w:t xml:space="preserve">2.1. </w:t>
        </w:r>
        <w:r w:rsidR="00DD65E6">
          <w:rPr>
            <w:rStyle w:val="Hyperlink"/>
            <w:noProof/>
          </w:rPr>
          <w:t>Закон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о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концесијама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_Toc449404304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6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2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05" w:history="1">
        <w:r w:rsidR="00D15F1A" w:rsidRPr="00D06D8A">
          <w:rPr>
            <w:rStyle w:val="Hyperlink"/>
            <w:noProof/>
          </w:rPr>
          <w:t xml:space="preserve">2.1.2. </w:t>
        </w:r>
        <w:r w:rsidR="00DD65E6">
          <w:rPr>
            <w:rStyle w:val="Hyperlink"/>
            <w:noProof/>
          </w:rPr>
          <w:t>Примјена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других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Закона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у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поступку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додјеле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концесија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_Toc449404305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7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06" w:history="1">
        <w:r w:rsidR="00D15F1A" w:rsidRPr="00D06D8A">
          <w:rPr>
            <w:rStyle w:val="Hyperlink"/>
            <w:noProof/>
          </w:rPr>
          <w:t xml:space="preserve">2.1.2.1. </w:t>
        </w:r>
        <w:r w:rsidR="00DD65E6">
          <w:rPr>
            <w:rStyle w:val="Hyperlink"/>
            <w:noProof/>
          </w:rPr>
          <w:t>Закон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о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страним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улагањима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Републике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Српске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_Toc449404306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7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07" w:history="1"/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08" w:history="1">
        <w:r w:rsidR="00D15F1A" w:rsidRPr="00D06D8A">
          <w:rPr>
            <w:rStyle w:val="Hyperlink"/>
            <w:noProof/>
            <w:lang w:val="sr-Cyrl-BA"/>
          </w:rPr>
          <w:t xml:space="preserve">2.1.2.3. </w:t>
        </w:r>
        <w:r w:rsidR="00DD65E6">
          <w:rPr>
            <w:rStyle w:val="Hyperlink"/>
            <w:noProof/>
            <w:lang w:val="sr-Cyrl-BA"/>
          </w:rPr>
          <w:t>Закон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о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јавним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набавкама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Босне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и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Херцеговине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_Toc449404308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8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09" w:history="1">
        <w:r w:rsidR="00D15F1A" w:rsidRPr="00D06D8A">
          <w:rPr>
            <w:rStyle w:val="Hyperlink"/>
            <w:noProof/>
            <w:lang w:val="sr-Cyrl-BA"/>
          </w:rPr>
          <w:t xml:space="preserve">2.1.2.4. </w:t>
        </w:r>
        <w:r w:rsidR="00DD65E6">
          <w:rPr>
            <w:rStyle w:val="Hyperlink"/>
            <w:noProof/>
            <w:lang w:val="sr-Cyrl-BA"/>
          </w:rPr>
          <w:t>Други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закони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који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се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посредно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примјењују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у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поступку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додјеле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концесија</w:t>
        </w:r>
        <w:r w:rsidR="00D15F1A" w:rsidRPr="00D06D8A">
          <w:rPr>
            <w:rStyle w:val="Hyperlink"/>
            <w:noProof/>
            <w:lang w:val="sr-Cyrl-BA"/>
          </w:rPr>
          <w:t>.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_Toc449404309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8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2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10" w:history="1">
        <w:r w:rsidR="00D15F1A" w:rsidRPr="00D06D8A">
          <w:rPr>
            <w:rStyle w:val="Hyperlink"/>
            <w:noProof/>
            <w:lang w:val="sr-Cyrl-BA"/>
          </w:rPr>
          <w:t>2.2.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Подзаконск</w:t>
        </w:r>
        <w:r w:rsidR="00DD65E6">
          <w:rPr>
            <w:rStyle w:val="Hyperlink"/>
            <w:noProof/>
            <w:lang w:val="sr-Cyrl-BA"/>
          </w:rPr>
          <w:t>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акт</w:t>
        </w:r>
        <w:r w:rsidR="00DD65E6">
          <w:rPr>
            <w:rStyle w:val="Hyperlink"/>
            <w:noProof/>
            <w:lang w:val="sr-Cyrl-BA"/>
          </w:rPr>
          <w:t>и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_Toc449404310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8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1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11" w:history="1">
        <w:r w:rsidR="00D15F1A" w:rsidRPr="00D06D8A">
          <w:rPr>
            <w:rStyle w:val="Hyperlink"/>
            <w:noProof/>
            <w:lang w:val="sr-Cyrl-BA"/>
          </w:rPr>
          <w:t>3</w:t>
        </w:r>
        <w:r w:rsidR="00D15F1A" w:rsidRPr="00D06D8A">
          <w:rPr>
            <w:rStyle w:val="Hyperlink"/>
            <w:noProof/>
          </w:rPr>
          <w:t xml:space="preserve">.  </w:t>
        </w:r>
        <w:r w:rsidR="00DD65E6">
          <w:rPr>
            <w:rStyle w:val="Hyperlink"/>
            <w:noProof/>
          </w:rPr>
          <w:t>ОСНОВНЕ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АКТИВНОСТИ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КОМИСИЈЕ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ЗА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КОНЦЕСИЈЕ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РЕПУБЛИКЕ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СРПСКЕ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_Toc449404311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9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2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12" w:history="1">
        <w:r w:rsidR="00D15F1A" w:rsidRPr="00D06D8A">
          <w:rPr>
            <w:rStyle w:val="Hyperlink"/>
            <w:noProof/>
          </w:rPr>
          <w:t xml:space="preserve">3.1. </w:t>
        </w:r>
        <w:r w:rsidR="00DD65E6">
          <w:rPr>
            <w:rStyle w:val="Hyperlink"/>
            <w:noProof/>
          </w:rPr>
          <w:t>Провјера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рада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Концесионара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_Toc449404312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11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2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13" w:history="1">
        <w:r w:rsidR="00D15F1A" w:rsidRPr="00D06D8A">
          <w:rPr>
            <w:rStyle w:val="Hyperlink"/>
            <w:noProof/>
          </w:rPr>
          <w:t>3.2.</w:t>
        </w:r>
        <w:r w:rsidR="00D15F1A" w:rsidRPr="00D06D8A">
          <w:rPr>
            <w:rStyle w:val="Hyperlink"/>
            <w:noProof/>
            <w:lang w:val="sr-Latn-BA"/>
          </w:rPr>
          <w:t xml:space="preserve"> </w:t>
        </w:r>
        <w:r w:rsidR="00DD65E6">
          <w:rPr>
            <w:rStyle w:val="Hyperlink"/>
            <w:noProof/>
          </w:rPr>
          <w:t>Активности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Комисије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из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области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изградње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коришћења</w:t>
        </w:r>
        <w:r w:rsidR="00D15F1A" w:rsidRPr="00D06D8A">
          <w:rPr>
            <w:rStyle w:val="Hyperlink"/>
            <w:noProof/>
          </w:rPr>
          <w:t xml:space="preserve">  </w:t>
        </w:r>
        <w:r w:rsidR="00DD65E6">
          <w:rPr>
            <w:rStyle w:val="Hyperlink"/>
            <w:noProof/>
          </w:rPr>
          <w:t>енергетских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објеката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_Toc449404313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12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14" w:history="1">
        <w:r w:rsidR="00D15F1A" w:rsidRPr="00D06D8A">
          <w:rPr>
            <w:rStyle w:val="Hyperlink"/>
            <w:noProof/>
          </w:rPr>
          <w:t xml:space="preserve">3.2.1. </w:t>
        </w:r>
        <w:r w:rsidR="00DD65E6">
          <w:rPr>
            <w:rStyle w:val="Hyperlink"/>
            <w:noProof/>
          </w:rPr>
          <w:t>Рјешења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Комисије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_Toc449404314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12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15" w:history="1">
        <w:r w:rsidR="00D15F1A" w:rsidRPr="00D06D8A">
          <w:rPr>
            <w:rStyle w:val="Hyperlink"/>
            <w:noProof/>
          </w:rPr>
          <w:t xml:space="preserve">3.2.2. </w:t>
        </w:r>
        <w:r w:rsidR="00DD65E6">
          <w:rPr>
            <w:rStyle w:val="Hyperlink"/>
            <w:noProof/>
          </w:rPr>
          <w:t>Провјера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рада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Концесионара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_Toc449404315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17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16" w:history="1">
        <w:r w:rsidR="00D15F1A" w:rsidRPr="00D06D8A">
          <w:rPr>
            <w:rStyle w:val="Hyperlink"/>
            <w:noProof/>
          </w:rPr>
          <w:t xml:space="preserve">3.2.3. </w:t>
        </w:r>
        <w:r w:rsidR="00DD65E6">
          <w:rPr>
            <w:rStyle w:val="Hyperlink"/>
            <w:noProof/>
          </w:rPr>
          <w:t>Рудник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Термоелектрана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Станари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_Toc449404316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18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17" w:history="1">
        <w:r w:rsidR="00D15F1A" w:rsidRPr="00D06D8A">
          <w:rPr>
            <w:rStyle w:val="Hyperlink"/>
            <w:noProof/>
          </w:rPr>
          <w:t xml:space="preserve">3.2.3.1. </w:t>
        </w:r>
        <w:r w:rsidR="00DD65E6">
          <w:rPr>
            <w:rStyle w:val="Hyperlink"/>
            <w:noProof/>
          </w:rPr>
          <w:t>Преглед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изведених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радова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у</w:t>
        </w:r>
        <w:r w:rsidR="00D15F1A" w:rsidRPr="00D06D8A">
          <w:rPr>
            <w:rStyle w:val="Hyperlink"/>
            <w:noProof/>
          </w:rPr>
          <w:t xml:space="preserve"> 2015. </w:t>
        </w:r>
        <w:r w:rsidR="00DD65E6">
          <w:rPr>
            <w:rStyle w:val="Hyperlink"/>
            <w:noProof/>
          </w:rPr>
          <w:t>години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_Toc449404317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18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18" w:history="1">
        <w:r w:rsidR="00D15F1A" w:rsidRPr="00D06D8A">
          <w:rPr>
            <w:rStyle w:val="Hyperlink"/>
            <w:noProof/>
          </w:rPr>
          <w:t xml:space="preserve">3.2.4. </w:t>
        </w:r>
        <w:r w:rsidR="00DD65E6">
          <w:rPr>
            <w:rStyle w:val="Hyperlink"/>
            <w:noProof/>
          </w:rPr>
          <w:t>ХЕ</w:t>
        </w:r>
        <w:r w:rsidR="00D15F1A" w:rsidRPr="00D06D8A">
          <w:rPr>
            <w:rStyle w:val="Hyperlink"/>
            <w:noProof/>
          </w:rPr>
          <w:t xml:space="preserve"> „</w:t>
        </w:r>
        <w:r w:rsidR="00DD65E6">
          <w:rPr>
            <w:rStyle w:val="Hyperlink"/>
            <w:noProof/>
          </w:rPr>
          <w:t>УЛОГ</w:t>
        </w:r>
        <w:r w:rsidR="00D15F1A" w:rsidRPr="00D06D8A">
          <w:rPr>
            <w:rStyle w:val="Hyperlink"/>
            <w:noProof/>
          </w:rPr>
          <w:t>“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_Toc449404318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19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19" w:history="1">
        <w:r w:rsidR="00D15F1A" w:rsidRPr="00D06D8A">
          <w:rPr>
            <w:rStyle w:val="Hyperlink"/>
            <w:noProof/>
          </w:rPr>
          <w:t xml:space="preserve">3.2.5.  </w:t>
        </w:r>
        <w:r w:rsidR="00DD65E6">
          <w:rPr>
            <w:rStyle w:val="Hyperlink"/>
            <w:noProof/>
          </w:rPr>
          <w:t>ХЕ</w:t>
        </w:r>
        <w:r w:rsidR="00D15F1A" w:rsidRPr="00D06D8A">
          <w:rPr>
            <w:rStyle w:val="Hyperlink"/>
            <w:noProof/>
          </w:rPr>
          <w:t xml:space="preserve"> „</w:t>
        </w:r>
        <w:r w:rsidR="00DD65E6">
          <w:rPr>
            <w:rStyle w:val="Hyperlink"/>
            <w:noProof/>
          </w:rPr>
          <w:t>ДАБАР</w:t>
        </w:r>
        <w:r w:rsidR="00D15F1A" w:rsidRPr="00D06D8A">
          <w:rPr>
            <w:rStyle w:val="Hyperlink"/>
            <w:noProof/>
          </w:rPr>
          <w:t>“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_Toc449404319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20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20" w:history="1">
        <w:r w:rsidR="00D15F1A" w:rsidRPr="00D06D8A">
          <w:rPr>
            <w:rStyle w:val="Hyperlink"/>
            <w:noProof/>
          </w:rPr>
          <w:t>3.2.6. „</w:t>
        </w:r>
        <w:r w:rsidR="00DD65E6">
          <w:rPr>
            <w:rStyle w:val="Hyperlink"/>
            <w:noProof/>
          </w:rPr>
          <w:t>ГАС</w:t>
        </w:r>
        <w:r w:rsidR="00D15F1A" w:rsidRPr="00D06D8A">
          <w:rPr>
            <w:rStyle w:val="Hyperlink"/>
            <w:noProof/>
          </w:rPr>
          <w:t>-</w:t>
        </w:r>
        <w:r w:rsidR="00DD65E6">
          <w:rPr>
            <w:rStyle w:val="Hyperlink"/>
            <w:noProof/>
          </w:rPr>
          <w:t>РЕС</w:t>
        </w:r>
        <w:r w:rsidR="00D15F1A" w:rsidRPr="00D06D8A">
          <w:rPr>
            <w:rStyle w:val="Hyperlink"/>
            <w:noProof/>
          </w:rPr>
          <w:t xml:space="preserve">“ </w:t>
        </w:r>
        <w:r w:rsidR="00DD65E6">
          <w:rPr>
            <w:rStyle w:val="Hyperlink"/>
            <w:noProof/>
          </w:rPr>
          <w:t>д</w:t>
        </w:r>
        <w:r w:rsidR="00D15F1A" w:rsidRPr="00D06D8A">
          <w:rPr>
            <w:rStyle w:val="Hyperlink"/>
            <w:noProof/>
          </w:rPr>
          <w:t>.</w:t>
        </w:r>
        <w:r w:rsidR="00DD65E6">
          <w:rPr>
            <w:rStyle w:val="Hyperlink"/>
            <w:noProof/>
          </w:rPr>
          <w:t>о</w:t>
        </w:r>
        <w:r w:rsidR="00D15F1A" w:rsidRPr="00D06D8A">
          <w:rPr>
            <w:rStyle w:val="Hyperlink"/>
            <w:noProof/>
          </w:rPr>
          <w:t>.</w:t>
        </w:r>
        <w:r w:rsidR="00DD65E6">
          <w:rPr>
            <w:rStyle w:val="Hyperlink"/>
            <w:noProof/>
          </w:rPr>
          <w:t>о</w:t>
        </w:r>
        <w:r w:rsidR="00D15F1A" w:rsidRPr="00D06D8A">
          <w:rPr>
            <w:rStyle w:val="Hyperlink"/>
            <w:noProof/>
          </w:rPr>
          <w:t>.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_Toc449404320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20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21" w:history="1">
        <w:r w:rsidR="00D15F1A" w:rsidRPr="00D06D8A">
          <w:rPr>
            <w:rStyle w:val="Hyperlink"/>
            <w:noProof/>
            <w:lang w:val="sr-Cyrl-CS"/>
          </w:rPr>
          <w:t xml:space="preserve">3.2.7. </w:t>
        </w:r>
        <w:r w:rsidR="00DD65E6">
          <w:rPr>
            <w:rStyle w:val="Hyperlink"/>
            <w:noProof/>
            <w:lang w:val="sr-Cyrl-CS"/>
          </w:rPr>
          <w:t>ХЕ</w:t>
        </w:r>
        <w:r w:rsidR="00D15F1A" w:rsidRPr="00D06D8A">
          <w:rPr>
            <w:rStyle w:val="Hyperlink"/>
            <w:noProof/>
            <w:lang w:val="sr-Cyrl-CS"/>
          </w:rPr>
          <w:t xml:space="preserve"> „</w:t>
        </w:r>
        <w:r w:rsidR="00DD65E6">
          <w:rPr>
            <w:rStyle w:val="Hyperlink"/>
            <w:noProof/>
            <w:lang w:val="sr-Cyrl-CS"/>
          </w:rPr>
          <w:t>МРСОВО</w:t>
        </w:r>
        <w:r w:rsidR="00D15F1A" w:rsidRPr="00D06D8A">
          <w:rPr>
            <w:rStyle w:val="Hyperlink"/>
            <w:noProof/>
            <w:lang w:val="sr-Cyrl-CS"/>
          </w:rPr>
          <w:t>“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_Toc449404321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21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22" w:history="1">
        <w:r w:rsidR="00D15F1A" w:rsidRPr="00D06D8A">
          <w:rPr>
            <w:rStyle w:val="Hyperlink"/>
            <w:noProof/>
          </w:rPr>
          <w:t xml:space="preserve">3.2.8. </w:t>
        </w:r>
        <w:r w:rsidR="00DD65E6">
          <w:rPr>
            <w:rStyle w:val="Hyperlink"/>
            <w:noProof/>
          </w:rPr>
          <w:t>Реализација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уговора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за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изградњу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коришћење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малих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хидроелектрана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_Toc449404322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21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23" w:history="1">
        <w:r w:rsidR="00D15F1A" w:rsidRPr="00D06D8A">
          <w:rPr>
            <w:rStyle w:val="Hyperlink"/>
            <w:noProof/>
          </w:rPr>
          <w:t xml:space="preserve">3.2.9. </w:t>
        </w:r>
        <w:r w:rsidR="00DD65E6">
          <w:rPr>
            <w:rStyle w:val="Hyperlink"/>
            <w:noProof/>
          </w:rPr>
          <w:t>Преглед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активности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на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реализацији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Уговора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о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концесији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за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  <w:lang w:val="sr-Cyrl-CS"/>
          </w:rPr>
          <w:t>МХЕ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_Toc449404323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23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24" w:history="1">
        <w:r w:rsidR="00D15F1A" w:rsidRPr="00D06D8A">
          <w:rPr>
            <w:rStyle w:val="Hyperlink"/>
            <w:noProof/>
          </w:rPr>
          <w:t xml:space="preserve">3.2.10. </w:t>
        </w:r>
        <w:r w:rsidR="00DD65E6">
          <w:rPr>
            <w:rStyle w:val="Hyperlink"/>
            <w:noProof/>
          </w:rPr>
          <w:t>Закључци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_Toc449404324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23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2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25" w:history="1">
        <w:r w:rsidR="00D15F1A" w:rsidRPr="00D06D8A">
          <w:rPr>
            <w:rStyle w:val="Hyperlink"/>
            <w:noProof/>
          </w:rPr>
          <w:t xml:space="preserve">3.3. </w:t>
        </w:r>
        <w:r w:rsidR="00DD65E6">
          <w:rPr>
            <w:rStyle w:val="Hyperlink"/>
            <w:noProof/>
          </w:rPr>
          <w:t>Активности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Комисије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из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области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минералних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ресурса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_Toc449404325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24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26" w:history="1">
        <w:r w:rsidR="00D15F1A" w:rsidRPr="00D06D8A">
          <w:rPr>
            <w:rStyle w:val="Hyperlink"/>
            <w:noProof/>
          </w:rPr>
          <w:t>3</w:t>
        </w:r>
        <w:r w:rsidR="00D15F1A" w:rsidRPr="00D06D8A">
          <w:rPr>
            <w:rStyle w:val="Hyperlink"/>
            <w:noProof/>
            <w:lang w:val="ru-RU"/>
          </w:rPr>
          <w:t xml:space="preserve">.3.1. </w:t>
        </w:r>
        <w:r w:rsidR="00DD65E6">
          <w:rPr>
            <w:rStyle w:val="Hyperlink"/>
            <w:noProof/>
          </w:rPr>
          <w:t>Рјешења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  <w:lang w:val="sr-Latn-BA"/>
          </w:rPr>
          <w:t>К</w:t>
        </w:r>
        <w:r w:rsidR="00DD65E6">
          <w:rPr>
            <w:rStyle w:val="Hyperlink"/>
            <w:noProof/>
          </w:rPr>
          <w:t>омисије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_Toc449404326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24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27" w:history="1">
        <w:r w:rsidR="00D15F1A" w:rsidRPr="00D06D8A">
          <w:rPr>
            <w:rStyle w:val="Hyperlink"/>
            <w:rFonts w:eastAsia="Cambria"/>
            <w:noProof/>
          </w:rPr>
          <w:t xml:space="preserve">3.3.2. </w:t>
        </w:r>
        <w:r w:rsidR="00DD65E6">
          <w:rPr>
            <w:rStyle w:val="Hyperlink"/>
            <w:rFonts w:eastAsia="Cambria"/>
            <w:noProof/>
          </w:rPr>
          <w:t>Преглед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закључених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уговора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према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врсти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минералне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сировине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_Toc449404327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30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28" w:history="1">
        <w:r w:rsidR="00D15F1A" w:rsidRPr="00D06D8A">
          <w:rPr>
            <w:rStyle w:val="Hyperlink"/>
            <w:rFonts w:eastAsia="Cambria"/>
            <w:noProof/>
          </w:rPr>
          <w:t xml:space="preserve">3.3.3. </w:t>
        </w:r>
        <w:r w:rsidR="00DD65E6">
          <w:rPr>
            <w:rStyle w:val="Hyperlink"/>
            <w:rFonts w:eastAsia="Cambria"/>
            <w:noProof/>
          </w:rPr>
          <w:t>Провјера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рада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Концесионара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_Toc449404328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31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29" w:history="1">
        <w:r w:rsidR="00D15F1A" w:rsidRPr="00D06D8A">
          <w:rPr>
            <w:rStyle w:val="Hyperlink"/>
            <w:rFonts w:eastAsia="Cambria"/>
            <w:noProof/>
          </w:rPr>
          <w:t xml:space="preserve">3.3.4. </w:t>
        </w:r>
        <w:r w:rsidR="00DD65E6">
          <w:rPr>
            <w:rStyle w:val="Hyperlink"/>
            <w:rFonts w:eastAsia="Cambria"/>
            <w:noProof/>
          </w:rPr>
          <w:t>Преглед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актуелних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проблема</w:t>
        </w:r>
        <w:r w:rsidR="00D15F1A" w:rsidRPr="00D06D8A">
          <w:rPr>
            <w:rStyle w:val="Hyperlink"/>
            <w:rFonts w:eastAsia="Cambria"/>
            <w:noProof/>
          </w:rPr>
          <w:t xml:space="preserve">, </w:t>
        </w:r>
        <w:r w:rsidR="00DD65E6">
          <w:rPr>
            <w:rStyle w:val="Hyperlink"/>
            <w:rFonts w:eastAsia="Cambria"/>
            <w:noProof/>
          </w:rPr>
          <w:t>који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су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присутни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код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реализације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Уговора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о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концесији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_Toc449404329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37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30" w:history="1">
        <w:r w:rsidR="00D15F1A" w:rsidRPr="00D06D8A">
          <w:rPr>
            <w:rStyle w:val="Hyperlink"/>
            <w:rFonts w:eastAsia="Cambria"/>
            <w:noProof/>
          </w:rPr>
          <w:t xml:space="preserve">3.3.5. </w:t>
        </w:r>
        <w:r w:rsidR="00DD65E6">
          <w:rPr>
            <w:rStyle w:val="Hyperlink"/>
            <w:rFonts w:eastAsia="Cambria"/>
            <w:noProof/>
          </w:rPr>
          <w:t>Преглед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активности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на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реализацији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Уговора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о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концесији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из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области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минералних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ресурса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_Toc449404330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39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31" w:history="1">
        <w:r w:rsidR="00D15F1A" w:rsidRPr="00D06D8A">
          <w:rPr>
            <w:rStyle w:val="Hyperlink"/>
            <w:rFonts w:eastAsia="Cambria"/>
            <w:noProof/>
          </w:rPr>
          <w:t xml:space="preserve">3.3.6. </w:t>
        </w:r>
        <w:r w:rsidR="00DD65E6">
          <w:rPr>
            <w:rStyle w:val="Hyperlink"/>
            <w:rFonts w:eastAsia="Cambria"/>
            <w:noProof/>
          </w:rPr>
          <w:t>Преглед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истеклих</w:t>
        </w:r>
        <w:r w:rsidR="00D15F1A" w:rsidRPr="00D06D8A">
          <w:rPr>
            <w:rStyle w:val="Hyperlink"/>
            <w:rFonts w:eastAsia="Cambria"/>
            <w:noProof/>
          </w:rPr>
          <w:t xml:space="preserve">, </w:t>
        </w:r>
        <w:r w:rsidR="00DD65E6">
          <w:rPr>
            <w:rStyle w:val="Hyperlink"/>
            <w:rFonts w:eastAsia="Cambria"/>
            <w:noProof/>
          </w:rPr>
          <w:t>престалих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са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важењем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и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раскинутих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Уговора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из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области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минералних</w:t>
        </w:r>
        <w:r w:rsidR="00D15F1A" w:rsidRPr="00D06D8A">
          <w:rPr>
            <w:rStyle w:val="Hyperlink"/>
            <w:rFonts w:eastAsia="Cambria"/>
            <w:noProof/>
          </w:rPr>
          <w:t xml:space="preserve"> </w:t>
        </w:r>
        <w:r w:rsidR="00DD65E6">
          <w:rPr>
            <w:rStyle w:val="Hyperlink"/>
            <w:rFonts w:eastAsia="Cambria"/>
            <w:noProof/>
          </w:rPr>
          <w:t>ресурса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_Toc449404331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40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32" w:history="1">
        <w:r w:rsidR="00D15F1A" w:rsidRPr="00D06D8A">
          <w:rPr>
            <w:rStyle w:val="Hyperlink"/>
            <w:rFonts w:eastAsia="Cambria"/>
            <w:noProof/>
          </w:rPr>
          <w:t xml:space="preserve">3.3.7. </w:t>
        </w:r>
        <w:r w:rsidR="00DD65E6">
          <w:rPr>
            <w:rStyle w:val="Hyperlink"/>
            <w:rFonts w:eastAsia="Cambria"/>
            <w:noProof/>
          </w:rPr>
          <w:t>Закључци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_Toc449404332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40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2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33" w:history="1">
        <w:r w:rsidR="00D15F1A" w:rsidRPr="00D06D8A">
          <w:rPr>
            <w:rStyle w:val="Hyperlink"/>
            <w:noProof/>
          </w:rPr>
          <w:t xml:space="preserve">3.4. </w:t>
        </w:r>
        <w:r w:rsidR="00DD65E6">
          <w:rPr>
            <w:rStyle w:val="Hyperlink"/>
            <w:noProof/>
          </w:rPr>
          <w:t>Активности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Комисије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из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области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трговине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туризма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_Toc449404333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42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34" w:history="1">
        <w:r w:rsidR="00D15F1A" w:rsidRPr="00D06D8A">
          <w:rPr>
            <w:rStyle w:val="Hyperlink"/>
            <w:noProof/>
          </w:rPr>
          <w:t>3</w:t>
        </w:r>
        <w:r w:rsidR="00D15F1A" w:rsidRPr="00D06D8A">
          <w:rPr>
            <w:rStyle w:val="Hyperlink"/>
            <w:noProof/>
            <w:lang w:val="ru-RU"/>
          </w:rPr>
          <w:t>.</w:t>
        </w:r>
        <w:r w:rsidR="00D15F1A" w:rsidRPr="00D06D8A">
          <w:rPr>
            <w:rStyle w:val="Hyperlink"/>
            <w:noProof/>
          </w:rPr>
          <w:t>4</w:t>
        </w:r>
        <w:r w:rsidR="00D15F1A" w:rsidRPr="00D06D8A">
          <w:rPr>
            <w:rStyle w:val="Hyperlink"/>
            <w:noProof/>
            <w:lang w:val="ru-RU"/>
          </w:rPr>
          <w:t xml:space="preserve">.1. </w:t>
        </w:r>
        <w:r w:rsidR="00DD65E6">
          <w:rPr>
            <w:rStyle w:val="Hyperlink"/>
            <w:noProof/>
          </w:rPr>
          <w:t>Рјешења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  <w:lang w:val="sr-Latn-BA"/>
          </w:rPr>
          <w:t>К</w:t>
        </w:r>
        <w:r w:rsidR="00DD65E6">
          <w:rPr>
            <w:rStyle w:val="Hyperlink"/>
            <w:noProof/>
          </w:rPr>
          <w:t>омисије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_Toc449404334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42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2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35" w:history="1">
        <w:r w:rsidR="00D15F1A" w:rsidRPr="00D06D8A">
          <w:rPr>
            <w:rStyle w:val="Hyperlink"/>
            <w:noProof/>
          </w:rPr>
          <w:t xml:space="preserve">3.5. </w:t>
        </w:r>
        <w:r w:rsidR="00DD65E6">
          <w:rPr>
            <w:rStyle w:val="Hyperlink"/>
            <w:noProof/>
          </w:rPr>
          <w:t>Активности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Комисије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из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области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  <w:lang w:val="sr-Cyrl-BA"/>
          </w:rPr>
          <w:t>финансија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_Toc449404335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42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36" w:history="1">
        <w:r w:rsidR="00D15F1A" w:rsidRPr="00D06D8A">
          <w:rPr>
            <w:rStyle w:val="Hyperlink"/>
            <w:noProof/>
          </w:rPr>
          <w:t>3</w:t>
        </w:r>
        <w:r w:rsidR="00D15F1A" w:rsidRPr="00D06D8A">
          <w:rPr>
            <w:rStyle w:val="Hyperlink"/>
            <w:noProof/>
            <w:lang w:val="ru-RU"/>
          </w:rPr>
          <w:t xml:space="preserve">.5.1. </w:t>
        </w:r>
        <w:r w:rsidR="00DD65E6">
          <w:rPr>
            <w:rStyle w:val="Hyperlink"/>
            <w:noProof/>
          </w:rPr>
          <w:t>Рјешења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Комисије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_Toc449404336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42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2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37" w:history="1">
        <w:r w:rsidR="00D15F1A" w:rsidRPr="00D06D8A">
          <w:rPr>
            <w:rStyle w:val="Hyperlink"/>
            <w:noProof/>
          </w:rPr>
          <w:t>3.</w:t>
        </w:r>
        <w:r w:rsidR="00D15F1A" w:rsidRPr="00D06D8A">
          <w:rPr>
            <w:rStyle w:val="Hyperlink"/>
            <w:noProof/>
            <w:lang w:val="sr-Cyrl-BA"/>
          </w:rPr>
          <w:t>6</w:t>
        </w:r>
        <w:r w:rsidR="00D15F1A" w:rsidRPr="00D06D8A">
          <w:rPr>
            <w:rStyle w:val="Hyperlink"/>
            <w:noProof/>
          </w:rPr>
          <w:t xml:space="preserve">. </w:t>
        </w:r>
        <w:r w:rsidR="00DD65E6">
          <w:rPr>
            <w:rStyle w:val="Hyperlink"/>
            <w:noProof/>
          </w:rPr>
          <w:t>Активности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Комисије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из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области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  <w:lang w:val="sr-Cyrl-BA"/>
          </w:rPr>
          <w:t>саобраћаја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и</w:t>
        </w:r>
        <w:r w:rsidR="00D15F1A" w:rsidRPr="00D06D8A">
          <w:rPr>
            <w:rStyle w:val="Hyperlink"/>
            <w:noProof/>
            <w:lang w:val="sr-Cyrl-BA"/>
          </w:rPr>
          <w:t xml:space="preserve"> </w:t>
        </w:r>
        <w:r w:rsidR="00DD65E6">
          <w:rPr>
            <w:rStyle w:val="Hyperlink"/>
            <w:noProof/>
            <w:lang w:val="sr-Cyrl-BA"/>
          </w:rPr>
          <w:t>веза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_Toc449404337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43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38" w:history="1">
        <w:r w:rsidR="00D15F1A" w:rsidRPr="00D06D8A">
          <w:rPr>
            <w:rStyle w:val="Hyperlink"/>
            <w:noProof/>
          </w:rPr>
          <w:t>3</w:t>
        </w:r>
        <w:r w:rsidR="00D15F1A" w:rsidRPr="00D06D8A">
          <w:rPr>
            <w:rStyle w:val="Hyperlink"/>
            <w:noProof/>
            <w:lang w:val="ru-RU"/>
          </w:rPr>
          <w:t xml:space="preserve">.6.1. </w:t>
        </w:r>
        <w:r w:rsidR="00DD65E6">
          <w:rPr>
            <w:rStyle w:val="Hyperlink"/>
            <w:noProof/>
          </w:rPr>
          <w:t>Рјешења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Комисије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_Toc449404338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43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2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39" w:history="1">
        <w:r w:rsidR="00D15F1A" w:rsidRPr="00D06D8A">
          <w:rPr>
            <w:rStyle w:val="Hyperlink"/>
            <w:noProof/>
          </w:rPr>
          <w:t>3.</w:t>
        </w:r>
        <w:r w:rsidR="00D15F1A" w:rsidRPr="00D06D8A">
          <w:rPr>
            <w:rStyle w:val="Hyperlink"/>
            <w:noProof/>
            <w:lang w:val="sr-Cyrl-BA"/>
          </w:rPr>
          <w:t>7</w:t>
        </w:r>
        <w:r w:rsidR="00D15F1A" w:rsidRPr="00D06D8A">
          <w:rPr>
            <w:rStyle w:val="Hyperlink"/>
            <w:noProof/>
          </w:rPr>
          <w:t xml:space="preserve">. </w:t>
        </w:r>
        <w:r w:rsidR="00DD65E6">
          <w:rPr>
            <w:rStyle w:val="Hyperlink"/>
            <w:noProof/>
          </w:rPr>
          <w:t>Активности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Комисије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из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области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коришћења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пољопривредног</w:t>
        </w:r>
        <w:r w:rsidR="00D15F1A" w:rsidRPr="00D06D8A">
          <w:rPr>
            <w:rStyle w:val="Hyperlink"/>
            <w:noProof/>
          </w:rPr>
          <w:t xml:space="preserve">       </w:t>
        </w:r>
        <w:r w:rsidR="00DD65E6">
          <w:rPr>
            <w:rStyle w:val="Hyperlink"/>
            <w:noProof/>
          </w:rPr>
          <w:t>земљишта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водних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добара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_Toc449404339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44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40" w:history="1">
        <w:r w:rsidR="00D15F1A" w:rsidRPr="00D06D8A">
          <w:rPr>
            <w:rStyle w:val="Hyperlink"/>
            <w:noProof/>
          </w:rPr>
          <w:t>3</w:t>
        </w:r>
        <w:r w:rsidR="00D15F1A" w:rsidRPr="00D06D8A">
          <w:rPr>
            <w:rStyle w:val="Hyperlink"/>
            <w:noProof/>
            <w:lang w:val="ru-RU"/>
          </w:rPr>
          <w:t>.</w:t>
        </w:r>
        <w:r w:rsidR="00D15F1A" w:rsidRPr="00D06D8A">
          <w:rPr>
            <w:rStyle w:val="Hyperlink"/>
            <w:noProof/>
          </w:rPr>
          <w:t xml:space="preserve">7.1. </w:t>
        </w:r>
        <w:r w:rsidR="00DD65E6">
          <w:rPr>
            <w:rStyle w:val="Hyperlink"/>
            <w:noProof/>
          </w:rPr>
          <w:t>Рјешења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Комисије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_Toc449404340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44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41" w:history="1">
        <w:r w:rsidR="00D15F1A" w:rsidRPr="00D06D8A">
          <w:rPr>
            <w:rStyle w:val="Hyperlink"/>
            <w:noProof/>
          </w:rPr>
          <w:t xml:space="preserve">3.7.2. </w:t>
        </w:r>
        <w:r w:rsidR="00DD65E6">
          <w:rPr>
            <w:rStyle w:val="Hyperlink"/>
            <w:noProof/>
          </w:rPr>
          <w:t>Провјера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рада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Концесионара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_Toc449404341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46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42" w:history="1">
        <w:r w:rsidR="00D15F1A" w:rsidRPr="00D06D8A">
          <w:rPr>
            <w:rStyle w:val="Hyperlink"/>
            <w:noProof/>
            <w:lang w:val="sr-Latn-BA"/>
          </w:rPr>
          <w:t>3.</w:t>
        </w:r>
        <w:r w:rsidR="00D15F1A" w:rsidRPr="00D06D8A">
          <w:rPr>
            <w:rStyle w:val="Hyperlink"/>
            <w:noProof/>
            <w:lang w:val="sr-Cyrl-CS"/>
          </w:rPr>
          <w:t>7.</w:t>
        </w:r>
        <w:r w:rsidR="00D15F1A" w:rsidRPr="00D06D8A">
          <w:rPr>
            <w:rStyle w:val="Hyperlink"/>
            <w:noProof/>
          </w:rPr>
          <w:t>3</w:t>
        </w:r>
        <w:r w:rsidR="00D15F1A" w:rsidRPr="00D06D8A">
          <w:rPr>
            <w:rStyle w:val="Hyperlink"/>
            <w:noProof/>
            <w:lang w:val="sr-Cyrl-CS"/>
          </w:rPr>
          <w:t xml:space="preserve">. </w:t>
        </w:r>
        <w:r w:rsidR="00DD65E6">
          <w:rPr>
            <w:rStyle w:val="Hyperlink"/>
            <w:noProof/>
          </w:rPr>
          <w:t>Преглед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активности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на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реализацији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Уговора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о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концесији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из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области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коришћења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пољопривредног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земљишта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водних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добара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у</w:t>
        </w:r>
        <w:r w:rsidR="00D15F1A" w:rsidRPr="00D06D8A">
          <w:rPr>
            <w:rStyle w:val="Hyperlink"/>
            <w:noProof/>
          </w:rPr>
          <w:t xml:space="preserve"> 2015. </w:t>
        </w:r>
        <w:r w:rsidR="00DD65E6">
          <w:rPr>
            <w:rStyle w:val="Hyperlink"/>
            <w:noProof/>
          </w:rPr>
          <w:t>години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_Toc449404342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47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43" w:history="1">
        <w:r w:rsidR="00D15F1A" w:rsidRPr="00D06D8A">
          <w:rPr>
            <w:rStyle w:val="Hyperlink"/>
            <w:noProof/>
          </w:rPr>
          <w:t xml:space="preserve">3.7.4. </w:t>
        </w:r>
        <w:r w:rsidR="00DD65E6">
          <w:rPr>
            <w:rStyle w:val="Hyperlink"/>
            <w:noProof/>
          </w:rPr>
          <w:t>Закључци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_Toc449404343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48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1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44" w:history="1">
        <w:r w:rsidR="00D15F1A" w:rsidRPr="00D06D8A">
          <w:rPr>
            <w:rStyle w:val="Hyperlink"/>
            <w:noProof/>
          </w:rPr>
          <w:t xml:space="preserve">4. </w:t>
        </w:r>
        <w:r w:rsidR="00DD65E6">
          <w:rPr>
            <w:rStyle w:val="Hyperlink"/>
            <w:noProof/>
          </w:rPr>
          <w:t>КОНЦЕСИОНА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НАКНАДА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_Toc449404344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48</w:t>
        </w:r>
        <w:r w:rsidR="00333E74">
          <w:rPr>
            <w:noProof/>
            <w:webHidden/>
          </w:rPr>
          <w:fldChar w:fldCharType="end"/>
        </w:r>
      </w:hyperlink>
    </w:p>
    <w:p w:rsidR="00456191" w:rsidRDefault="00075B64" w:rsidP="00456191">
      <w:pPr>
        <w:pStyle w:val="TOC1"/>
        <w:tabs>
          <w:tab w:val="right" w:leader="dot" w:pos="9017"/>
        </w:tabs>
        <w:rPr>
          <w:noProof/>
        </w:rPr>
      </w:pPr>
      <w:hyperlink w:anchor="_Toc449404345" w:history="1">
        <w:r w:rsidR="00D15F1A" w:rsidRPr="00D06D8A">
          <w:rPr>
            <w:rStyle w:val="Hyperlink"/>
            <w:noProof/>
          </w:rPr>
          <w:t xml:space="preserve">5. </w:t>
        </w:r>
        <w:r w:rsidR="00DD65E6">
          <w:rPr>
            <w:rStyle w:val="Hyperlink"/>
            <w:noProof/>
          </w:rPr>
          <w:t>БУЏЕТ</w:t>
        </w:r>
        <w:r w:rsidR="00D15F1A">
          <w:rPr>
            <w:noProof/>
            <w:webHidden/>
          </w:rPr>
          <w:tab/>
        </w:r>
      </w:hyperlink>
      <w:r w:rsidR="00456191">
        <w:rPr>
          <w:noProof/>
        </w:rPr>
        <w:t>51</w:t>
      </w:r>
    </w:p>
    <w:p w:rsidR="00D15F1A" w:rsidRDefault="00075B64">
      <w:pPr>
        <w:pStyle w:val="TOC3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47" w:history="1">
        <w:r w:rsidR="00D15F1A" w:rsidRPr="00D06D8A">
          <w:rPr>
            <w:rStyle w:val="Hyperlink"/>
            <w:noProof/>
          </w:rPr>
          <w:t xml:space="preserve">5.1.1.  </w:t>
        </w:r>
        <w:r w:rsidR="00DD65E6">
          <w:rPr>
            <w:rStyle w:val="Hyperlink"/>
            <w:noProof/>
          </w:rPr>
          <w:t>Стална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средства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Комисије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за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концесије</w:t>
        </w:r>
        <w:r w:rsidR="00D15F1A">
          <w:rPr>
            <w:noProof/>
            <w:webHidden/>
          </w:rPr>
          <w:tab/>
        </w:r>
      </w:hyperlink>
      <w:r w:rsidR="00E31A4D">
        <w:rPr>
          <w:noProof/>
        </w:rPr>
        <w:t>52</w:t>
      </w:r>
    </w:p>
    <w:p w:rsidR="00D15F1A" w:rsidRDefault="00075B64">
      <w:pPr>
        <w:pStyle w:val="TOC3"/>
        <w:tabs>
          <w:tab w:val="right" w:leader="dot" w:pos="9017"/>
        </w:tabs>
        <w:rPr>
          <w:noProof/>
        </w:rPr>
      </w:pPr>
      <w:hyperlink w:anchor="_Toc449404348" w:history="1">
        <w:r w:rsidR="00D15F1A" w:rsidRPr="00D06D8A">
          <w:rPr>
            <w:rStyle w:val="Hyperlink"/>
            <w:noProof/>
          </w:rPr>
          <w:t xml:space="preserve">5.1.2. </w:t>
        </w:r>
        <w:r w:rsidR="00DD65E6">
          <w:rPr>
            <w:rStyle w:val="Hyperlink"/>
            <w:noProof/>
          </w:rPr>
          <w:t>Трошкови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плата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накнада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запослених</w:t>
        </w:r>
        <w:r w:rsidR="00456191">
          <w:rPr>
            <w:noProof/>
            <w:webHidden/>
          </w:rPr>
          <w:t>……………………………………………………………………</w:t>
        </w:r>
        <w:r w:rsidR="006704E2">
          <w:rPr>
            <w:noProof/>
            <w:webHidden/>
          </w:rPr>
          <w:t>……………………………………………..</w:t>
        </w:r>
        <w:r w:rsidR="00456191">
          <w:rPr>
            <w:noProof/>
            <w:webHidden/>
          </w:rPr>
          <w:t>.53</w:t>
        </w:r>
      </w:hyperlink>
    </w:p>
    <w:p w:rsidR="00456191" w:rsidRDefault="00075B64" w:rsidP="00456191">
      <w:pPr>
        <w:pStyle w:val="TOC3"/>
        <w:tabs>
          <w:tab w:val="right" w:leader="dot" w:pos="9017"/>
        </w:tabs>
        <w:rPr>
          <w:noProof/>
        </w:rPr>
      </w:pPr>
      <w:hyperlink w:anchor="_Toc449404348" w:history="1">
        <w:r w:rsidR="00456191" w:rsidRPr="00D06D8A">
          <w:rPr>
            <w:rStyle w:val="Hyperlink"/>
            <w:noProof/>
          </w:rPr>
          <w:t>5.1.</w:t>
        </w:r>
        <w:r w:rsidR="00456191">
          <w:rPr>
            <w:rStyle w:val="Hyperlink"/>
            <w:noProof/>
          </w:rPr>
          <w:t>3</w:t>
        </w:r>
        <w:r w:rsidR="00456191" w:rsidRPr="00D06D8A">
          <w:rPr>
            <w:rStyle w:val="Hyperlink"/>
            <w:noProof/>
          </w:rPr>
          <w:t xml:space="preserve">. </w:t>
        </w:r>
        <w:r w:rsidR="00DD65E6">
          <w:rPr>
            <w:rStyle w:val="Hyperlink"/>
            <w:noProof/>
          </w:rPr>
          <w:t>Трошкови</w:t>
        </w:r>
        <w:r w:rsidR="00456191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материјала</w:t>
        </w:r>
        <w:r w:rsidR="00456191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</w:t>
        </w:r>
        <w:r w:rsidR="00456191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услуга</w:t>
        </w:r>
        <w:r w:rsidR="00456191">
          <w:rPr>
            <w:noProof/>
            <w:webHidden/>
          </w:rPr>
          <w:t>……………………………………………………………………</w:t>
        </w:r>
        <w:r w:rsidR="006704E2">
          <w:rPr>
            <w:noProof/>
            <w:webHidden/>
          </w:rPr>
          <w:t>……..</w:t>
        </w:r>
        <w:r w:rsidR="00456191">
          <w:rPr>
            <w:noProof/>
            <w:webHidden/>
          </w:rPr>
          <w:t>53</w:t>
        </w:r>
      </w:hyperlink>
    </w:p>
    <w:p w:rsidR="00D15F1A" w:rsidRDefault="00075B64">
      <w:pPr>
        <w:pStyle w:val="TOC2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49" w:history="1">
        <w:r w:rsidR="00D15F1A" w:rsidRPr="00D06D8A">
          <w:rPr>
            <w:rStyle w:val="Hyperlink"/>
            <w:noProof/>
          </w:rPr>
          <w:t xml:space="preserve">5.2. </w:t>
        </w:r>
        <w:r w:rsidR="00DD65E6">
          <w:rPr>
            <w:rStyle w:val="Hyperlink"/>
            <w:noProof/>
          </w:rPr>
          <w:t>Годишњи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Извјештај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о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извршењу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буџета</w:t>
        </w:r>
        <w:r w:rsidR="00D15F1A">
          <w:rPr>
            <w:noProof/>
            <w:webHidden/>
          </w:rPr>
          <w:tab/>
        </w:r>
        <w:r w:rsidR="00155327">
          <w:rPr>
            <w:noProof/>
            <w:webHidden/>
          </w:rPr>
          <w:t>53</w:t>
        </w:r>
      </w:hyperlink>
    </w:p>
    <w:p w:rsidR="00D15F1A" w:rsidRDefault="00075B64">
      <w:pPr>
        <w:pStyle w:val="TOC1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50" w:history="1">
        <w:r w:rsidR="00D15F1A" w:rsidRPr="00D06D8A">
          <w:rPr>
            <w:rStyle w:val="Hyperlink"/>
            <w:noProof/>
          </w:rPr>
          <w:t xml:space="preserve">6. </w:t>
        </w:r>
        <w:r w:rsidR="00DD65E6">
          <w:rPr>
            <w:rStyle w:val="Hyperlink"/>
            <w:noProof/>
          </w:rPr>
          <w:t>ОСТАЛЕ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АКТИВНОСТИ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КОМИСИЈЕ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ЗА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КОНЦЕСИЈЕ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РЕПУБЛИКЕ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СРПСКЕ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_Toc449404350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54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2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51" w:history="1">
        <w:r w:rsidR="00D15F1A" w:rsidRPr="00D06D8A">
          <w:rPr>
            <w:rStyle w:val="Hyperlink"/>
            <w:noProof/>
          </w:rPr>
          <w:t xml:space="preserve">6.1. </w:t>
        </w:r>
        <w:r w:rsidR="00DD65E6">
          <w:rPr>
            <w:rStyle w:val="Hyperlink"/>
            <w:noProof/>
          </w:rPr>
          <w:t>Однос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Комисије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са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другим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органима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у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Републици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Српској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_Toc449404351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54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2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52" w:history="1">
        <w:r w:rsidR="00D15F1A" w:rsidRPr="00D06D8A">
          <w:rPr>
            <w:rStyle w:val="Hyperlink"/>
            <w:noProof/>
          </w:rPr>
          <w:t xml:space="preserve">6.2. </w:t>
        </w:r>
        <w:r w:rsidR="00DD65E6">
          <w:rPr>
            <w:rStyle w:val="Hyperlink"/>
            <w:noProof/>
          </w:rPr>
          <w:t>Сарадња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са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домаћим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страним</w:t>
        </w:r>
        <w:r w:rsidR="00D15F1A" w:rsidRPr="00D06D8A">
          <w:rPr>
            <w:rStyle w:val="Hyperlink"/>
            <w:noProof/>
          </w:rPr>
          <w:t xml:space="preserve"> </w:t>
        </w:r>
        <w:r w:rsidR="00DD65E6">
          <w:rPr>
            <w:rStyle w:val="Hyperlink"/>
            <w:noProof/>
          </w:rPr>
          <w:t>институцијама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_Toc449404352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54</w:t>
        </w:r>
        <w:r w:rsidR="00333E74">
          <w:rPr>
            <w:noProof/>
            <w:webHidden/>
          </w:rPr>
          <w:fldChar w:fldCharType="end"/>
        </w:r>
      </w:hyperlink>
    </w:p>
    <w:p w:rsidR="00D15F1A" w:rsidRDefault="00075B64">
      <w:pPr>
        <w:pStyle w:val="TOC1"/>
        <w:tabs>
          <w:tab w:val="right" w:leader="dot" w:pos="9017"/>
        </w:tabs>
        <w:rPr>
          <w:rFonts w:eastAsiaTheme="minorEastAsia" w:cstheme="minorBidi"/>
          <w:b w:val="0"/>
          <w:noProof/>
          <w:sz w:val="22"/>
          <w:szCs w:val="22"/>
        </w:rPr>
      </w:pPr>
      <w:hyperlink w:anchor="_Toc449404353" w:history="1">
        <w:r w:rsidR="00D15F1A" w:rsidRPr="00D06D8A">
          <w:rPr>
            <w:rStyle w:val="Hyperlink"/>
            <w:noProof/>
          </w:rPr>
          <w:t xml:space="preserve">7. </w:t>
        </w:r>
        <w:r w:rsidR="00DD65E6">
          <w:rPr>
            <w:rStyle w:val="Hyperlink"/>
            <w:noProof/>
          </w:rPr>
          <w:t>ЗАКЉУЧАК</w:t>
        </w:r>
        <w:r w:rsidR="00D15F1A">
          <w:rPr>
            <w:noProof/>
            <w:webHidden/>
          </w:rPr>
          <w:tab/>
        </w:r>
        <w:r w:rsidR="00333E74">
          <w:rPr>
            <w:noProof/>
            <w:webHidden/>
          </w:rPr>
          <w:fldChar w:fldCharType="begin"/>
        </w:r>
        <w:r w:rsidR="00D15F1A">
          <w:rPr>
            <w:noProof/>
            <w:webHidden/>
          </w:rPr>
          <w:instrText xml:space="preserve"> PAGEREF _Toc449404353 \h </w:instrText>
        </w:r>
        <w:r w:rsidR="00333E74">
          <w:rPr>
            <w:noProof/>
            <w:webHidden/>
          </w:rPr>
        </w:r>
        <w:r w:rsidR="00333E74">
          <w:rPr>
            <w:noProof/>
            <w:webHidden/>
          </w:rPr>
          <w:fldChar w:fldCharType="separate"/>
        </w:r>
        <w:r w:rsidR="0076153C">
          <w:rPr>
            <w:noProof/>
            <w:webHidden/>
          </w:rPr>
          <w:t>55</w:t>
        </w:r>
        <w:r w:rsidR="00333E74">
          <w:rPr>
            <w:noProof/>
            <w:webHidden/>
          </w:rPr>
          <w:fldChar w:fldCharType="end"/>
        </w:r>
      </w:hyperlink>
    </w:p>
    <w:p w:rsidR="00E37165" w:rsidRPr="009C5187" w:rsidRDefault="00333E7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end"/>
      </w:r>
    </w:p>
    <w:p w:rsidR="00E37165" w:rsidRDefault="00E37165">
      <w:pPr>
        <w:spacing w:after="200" w:line="276" w:lineRule="auto"/>
        <w:rPr>
          <w:rFonts w:asciiTheme="minorHAnsi" w:hAnsiTheme="minorHAnsi"/>
          <w:sz w:val="22"/>
          <w:szCs w:val="22"/>
          <w:lang w:val="sr-Cyrl-BA"/>
        </w:rPr>
      </w:pPr>
    </w:p>
    <w:p w:rsidR="009C5187" w:rsidRPr="009C5187" w:rsidRDefault="009C5187">
      <w:pPr>
        <w:spacing w:after="200" w:line="276" w:lineRule="auto"/>
        <w:rPr>
          <w:rFonts w:asciiTheme="minorHAnsi" w:hAnsiTheme="minorHAnsi"/>
          <w:sz w:val="22"/>
          <w:szCs w:val="22"/>
          <w:lang w:val="sr-Cyrl-BA"/>
        </w:rPr>
      </w:pPr>
    </w:p>
    <w:p w:rsidR="00E37165" w:rsidRDefault="00E3716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E37165" w:rsidRDefault="00E3716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E37165" w:rsidRDefault="00E3716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E37165" w:rsidRDefault="00E3716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E37165" w:rsidRDefault="00E3716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E37165" w:rsidRDefault="00E3716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E37165" w:rsidRDefault="00E3716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E37165" w:rsidRDefault="00E3716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E37165" w:rsidRPr="00E37165" w:rsidRDefault="00E37165">
      <w:pPr>
        <w:spacing w:after="200" w:line="276" w:lineRule="auto"/>
        <w:rPr>
          <w:rFonts w:asciiTheme="minorHAnsi" w:hAnsiTheme="minorHAnsi"/>
          <w:sz w:val="22"/>
          <w:szCs w:val="22"/>
          <w:lang w:val="sr-Latn-BA"/>
        </w:rPr>
      </w:pPr>
    </w:p>
    <w:p w:rsidR="00AB2473" w:rsidRDefault="00AB2473">
      <w:pPr>
        <w:spacing w:after="200" w:line="276" w:lineRule="auto"/>
        <w:rPr>
          <w:rFonts w:asciiTheme="majorHAnsi" w:hAnsiTheme="majorHAnsi"/>
          <w:b/>
          <w:bCs/>
          <w:sz w:val="26"/>
          <w:szCs w:val="26"/>
          <w:lang w:val="sr-Cyrl-CS"/>
        </w:rPr>
      </w:pPr>
      <w:r>
        <w:br w:type="page"/>
      </w:r>
    </w:p>
    <w:p w:rsidR="00F72496" w:rsidRPr="00F72496" w:rsidRDefault="00577955" w:rsidP="00492C5C">
      <w:pPr>
        <w:pStyle w:val="Heading1"/>
        <w:rPr>
          <w:lang w:val="sr-Cyrl-BA"/>
        </w:rPr>
      </w:pPr>
      <w:bookmarkStart w:id="1" w:name="_Toc418075602"/>
      <w:bookmarkStart w:id="2" w:name="_Toc449404302"/>
      <w:r w:rsidRPr="00E37165">
        <w:lastRenderedPageBreak/>
        <w:t xml:space="preserve">1.  </w:t>
      </w:r>
      <w:r w:rsidR="00DD65E6">
        <w:t>УВОД</w:t>
      </w:r>
      <w:bookmarkEnd w:id="1"/>
      <w:bookmarkEnd w:id="2"/>
    </w:p>
    <w:p w:rsidR="00577955" w:rsidRPr="00B36C7E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Комисија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за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концесије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Републике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Српске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(</w:t>
      </w:r>
      <w:r>
        <w:rPr>
          <w:rFonts w:ascii="Calibri" w:hAnsi="Calibri"/>
          <w:sz w:val="22"/>
          <w:szCs w:val="22"/>
          <w:lang w:val="sr-Cyrl-CS"/>
        </w:rPr>
        <w:t>у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даљем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тексту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Комисија</w:t>
      </w:r>
      <w:r w:rsidR="00577955" w:rsidRPr="00B36C7E">
        <w:rPr>
          <w:rFonts w:ascii="Calibri" w:hAnsi="Calibri"/>
          <w:sz w:val="22"/>
          <w:szCs w:val="22"/>
          <w:lang w:val="sr-Cyrl-CS"/>
        </w:rPr>
        <w:t>)</w:t>
      </w:r>
      <w:r w:rsidR="00577955" w:rsidRPr="00B36C7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подноси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Извјестај</w:t>
      </w:r>
      <w:r w:rsidR="00872F7F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 w:rsidR="00872F7F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свом</w:t>
      </w:r>
      <w:r w:rsidR="00872F7F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раду</w:t>
      </w:r>
      <w:r w:rsidR="00872F7F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 w:rsidR="00872F7F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финансијски</w:t>
      </w:r>
      <w:r w:rsidR="00872F7F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извјештај</w:t>
      </w:r>
      <w:r w:rsidR="00872F7F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за</w:t>
      </w:r>
      <w:r w:rsidR="00872F7F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претходну</w:t>
      </w:r>
      <w:r w:rsidR="00872F7F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годину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основу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члана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 w:rsidR="00027754" w:rsidRPr="00B36C7E">
        <w:rPr>
          <w:rFonts w:ascii="Calibri" w:hAnsi="Calibri"/>
          <w:sz w:val="22"/>
          <w:szCs w:val="22"/>
        </w:rPr>
        <w:t>60</w:t>
      </w:r>
      <w:r w:rsidR="00872F7F" w:rsidRPr="00B36C7E">
        <w:rPr>
          <w:rFonts w:ascii="Calibri" w:hAnsi="Calibri"/>
          <w:sz w:val="22"/>
          <w:szCs w:val="22"/>
          <w:lang w:val="sr-Cyrl-BA"/>
        </w:rPr>
        <w:t>.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Закона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концесијама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Републике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Српске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(</w:t>
      </w:r>
      <w:r w:rsidR="00577955" w:rsidRPr="00B36C7E">
        <w:rPr>
          <w:rFonts w:ascii="Calibri" w:hAnsi="Calibri"/>
          <w:sz w:val="22"/>
          <w:szCs w:val="22"/>
          <w:lang w:val="sr-Latn-CS"/>
        </w:rPr>
        <w:t>„</w:t>
      </w:r>
      <w:r>
        <w:rPr>
          <w:rFonts w:ascii="Calibri" w:hAnsi="Calibri"/>
          <w:sz w:val="22"/>
          <w:szCs w:val="22"/>
          <w:lang w:val="sr-Cyrl-CS"/>
        </w:rPr>
        <w:t>Службени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гласник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Републике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</w:t>
      </w:r>
      <w:r>
        <w:rPr>
          <w:rFonts w:ascii="Calibri" w:hAnsi="Calibri"/>
          <w:sz w:val="22"/>
          <w:szCs w:val="22"/>
          <w:lang w:val="sr-Cyrl-BA"/>
        </w:rPr>
        <w:t>р</w:t>
      </w:r>
      <w:r>
        <w:rPr>
          <w:rFonts w:ascii="Calibri" w:hAnsi="Calibri"/>
          <w:sz w:val="22"/>
          <w:szCs w:val="22"/>
          <w:lang w:val="sr-Cyrl-CS"/>
        </w:rPr>
        <w:t>пске</w:t>
      </w:r>
      <w:r w:rsidR="00577955" w:rsidRPr="00B36C7E">
        <w:rPr>
          <w:rFonts w:ascii="Calibri" w:hAnsi="Calibri"/>
          <w:sz w:val="22"/>
          <w:szCs w:val="22"/>
          <w:lang w:val="sr-Latn-CS"/>
        </w:rPr>
        <w:t>“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број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: </w:t>
      </w:r>
      <w:r w:rsidR="00577955" w:rsidRPr="00B36C7E">
        <w:rPr>
          <w:rFonts w:ascii="Calibri" w:hAnsi="Calibri"/>
          <w:sz w:val="22"/>
          <w:szCs w:val="22"/>
        </w:rPr>
        <w:t>59/13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). </w:t>
      </w:r>
      <w:r>
        <w:rPr>
          <w:rFonts w:ascii="Calibri" w:hAnsi="Calibri"/>
          <w:sz w:val="22"/>
          <w:szCs w:val="22"/>
          <w:lang w:val="sr-Cyrl-CS"/>
        </w:rPr>
        <w:t>Извјештај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раду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финансијски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извјештај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Комисија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подноси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Народној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скупштини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Републике</w:t>
      </w:r>
      <w:r w:rsidR="00E0020D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Српске</w:t>
      </w:r>
      <w:r w:rsidR="00E0020D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најкасније</w:t>
      </w:r>
      <w:r w:rsidR="00E0020D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до</w:t>
      </w:r>
      <w:r w:rsidR="00E0020D" w:rsidRPr="00B36C7E">
        <w:rPr>
          <w:rFonts w:ascii="Calibri" w:hAnsi="Calibri"/>
          <w:sz w:val="22"/>
          <w:szCs w:val="22"/>
          <w:lang w:val="sr-Cyrl-CS"/>
        </w:rPr>
        <w:t xml:space="preserve"> 30. </w:t>
      </w:r>
      <w:r>
        <w:rPr>
          <w:rFonts w:ascii="Calibri" w:hAnsi="Calibri"/>
          <w:sz w:val="22"/>
          <w:szCs w:val="22"/>
          <w:lang w:val="sr-Cyrl-CS"/>
        </w:rPr>
        <w:t>априла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текуће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године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за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претходну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календарску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годину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.  </w:t>
      </w:r>
    </w:p>
    <w:p w:rsidR="00577955" w:rsidRPr="00B33BDD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Према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одредбама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Закона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Извјештај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раду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Комисије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садржи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податке</w:t>
      </w:r>
      <w:r w:rsidR="00872F7F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872F7F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извршеним</w:t>
      </w:r>
      <w:r w:rsidR="00872F7F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провјерама</w:t>
      </w:r>
      <w:r w:rsidR="00872F7F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рада</w:t>
      </w:r>
      <w:r w:rsidR="00872F7F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Концесионара</w:t>
      </w:r>
      <w:r w:rsidR="00872F7F" w:rsidRPr="00B36C7E">
        <w:rPr>
          <w:rFonts w:ascii="Calibri" w:hAnsi="Calibri"/>
          <w:sz w:val="22"/>
          <w:szCs w:val="22"/>
          <w:lang w:val="sr-Cyrl-BA"/>
        </w:rPr>
        <w:t>,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поднесеним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захтјевима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рјешењима</w:t>
      </w:r>
      <w:r w:rsidR="00577955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Комисије</w:t>
      </w:r>
      <w:r w:rsidR="00577955" w:rsidRPr="00B36C7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броју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врсти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предмета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које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Комисија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разматрала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друге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информације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дјелокруга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рада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Комисије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било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Комисија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поступа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</w:t>
      </w:r>
      <w:r w:rsidR="00577955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службеној</w:t>
      </w:r>
      <w:r w:rsidR="00577955" w:rsidRPr="00B33BD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дужности</w:t>
      </w:r>
      <w:r w:rsidR="00577955" w:rsidRPr="00B33BDD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по</w:t>
      </w:r>
      <w:r w:rsidR="00577955" w:rsidRPr="00B33BD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захтјеву</w:t>
      </w:r>
      <w:r w:rsidR="00577955" w:rsidRPr="00B33BD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надлежног</w:t>
      </w:r>
      <w:r w:rsidR="00577955" w:rsidRPr="00B33BD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органа</w:t>
      </w:r>
      <w:r w:rsidR="00577955" w:rsidRPr="00B33BD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или</w:t>
      </w:r>
      <w:r w:rsidR="00577955" w:rsidRPr="00B33BD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заинтересованог</w:t>
      </w:r>
      <w:r w:rsidR="00577955" w:rsidRPr="00B33BD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лица</w:t>
      </w:r>
      <w:r w:rsidR="00577955" w:rsidRPr="00B33BDD">
        <w:rPr>
          <w:rFonts w:ascii="Calibri" w:hAnsi="Calibri"/>
          <w:sz w:val="22"/>
          <w:szCs w:val="22"/>
          <w:lang w:val="sr-Cyrl-BA"/>
        </w:rPr>
        <w:t>.</w:t>
      </w:r>
    </w:p>
    <w:p w:rsidR="00577955" w:rsidRPr="00B33BDD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Извјештајем</w:t>
      </w:r>
      <w:r w:rsidR="00577955" w:rsidRPr="00B33BD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B33BD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раду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Комисије</w:t>
      </w:r>
      <w:r w:rsidR="00805C5A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обухваћен</w:t>
      </w:r>
      <w:r w:rsidR="00805C5A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је</w:t>
      </w:r>
      <w:r w:rsidR="00805C5A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период</w:t>
      </w:r>
      <w:r w:rsidR="00805C5A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од</w:t>
      </w:r>
      <w:r w:rsidR="00805C5A">
        <w:rPr>
          <w:rFonts w:ascii="Calibri" w:hAnsi="Calibri"/>
          <w:sz w:val="22"/>
          <w:szCs w:val="22"/>
          <w:lang w:val="sr-Cyrl-CS"/>
        </w:rPr>
        <w:t xml:space="preserve"> 01. </w:t>
      </w:r>
      <w:r>
        <w:rPr>
          <w:rFonts w:ascii="Calibri" w:hAnsi="Calibri"/>
          <w:sz w:val="22"/>
          <w:szCs w:val="22"/>
          <w:lang w:val="sr-Cyrl-CS"/>
        </w:rPr>
        <w:t>ј</w:t>
      </w:r>
      <w:r>
        <w:rPr>
          <w:rFonts w:ascii="Calibri" w:hAnsi="Calibri"/>
          <w:sz w:val="22"/>
          <w:szCs w:val="22"/>
          <w:lang w:val="sr-Cyrl-BA"/>
        </w:rPr>
        <w:t>ануара</w:t>
      </w:r>
      <w:r w:rsidR="00577955" w:rsidRPr="00B33BD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</w:t>
      </w:r>
      <w:r w:rsidR="00577955" w:rsidRPr="00B33BDD">
        <w:rPr>
          <w:rFonts w:ascii="Calibri" w:hAnsi="Calibri"/>
          <w:sz w:val="22"/>
          <w:szCs w:val="22"/>
          <w:lang w:val="sr-Cyrl-BA"/>
        </w:rPr>
        <w:t xml:space="preserve"> 31.</w:t>
      </w:r>
      <w:r w:rsidR="00805C5A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децембра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201</w:t>
      </w:r>
      <w:r w:rsidR="00577955">
        <w:rPr>
          <w:rFonts w:ascii="Calibri" w:hAnsi="Calibri"/>
          <w:sz w:val="22"/>
          <w:szCs w:val="22"/>
          <w:lang w:val="sr-Cyrl-CS"/>
        </w:rPr>
        <w:t>5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. </w:t>
      </w:r>
      <w:r>
        <w:rPr>
          <w:rFonts w:ascii="Calibri" w:hAnsi="Calibri"/>
          <w:sz w:val="22"/>
          <w:szCs w:val="22"/>
          <w:lang w:val="sr-Cyrl-CS"/>
        </w:rPr>
        <w:t>године</w:t>
      </w:r>
      <w:r w:rsidR="00577955" w:rsidRPr="00B33BDD">
        <w:rPr>
          <w:rFonts w:ascii="Calibri" w:hAnsi="Calibri"/>
          <w:sz w:val="22"/>
          <w:szCs w:val="22"/>
          <w:lang w:val="sr-Cyrl-CS"/>
        </w:rPr>
        <w:t>.</w:t>
      </w:r>
    </w:p>
    <w:p w:rsidR="00577955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Циљ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Извјештаја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јесте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информише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Народну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скупштину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Републике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Српске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као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укупну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јавност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раду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Комисије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о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активностима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имплементацији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законских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других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прописа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из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области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реализацији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уговора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концесији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провјери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рада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</w:rPr>
        <w:t>к</w:t>
      </w:r>
      <w:r>
        <w:rPr>
          <w:rFonts w:ascii="Calibri" w:hAnsi="Calibri"/>
          <w:sz w:val="22"/>
          <w:szCs w:val="22"/>
          <w:lang w:val="sr-Cyrl-CS"/>
        </w:rPr>
        <w:t>онцесионара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сл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. </w:t>
      </w:r>
    </w:p>
    <w:p w:rsidR="00577955" w:rsidRPr="00B649D0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Поједини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појмови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који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користе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овом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извјештају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чије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је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значење</w:t>
      </w:r>
      <w:r w:rsidR="00027754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одређено</w:t>
      </w:r>
      <w:r w:rsidR="00027754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одредбама</w:t>
      </w:r>
      <w:r w:rsidR="00027754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члана</w:t>
      </w:r>
      <w:r w:rsidR="00027754">
        <w:rPr>
          <w:rFonts w:ascii="Calibri" w:hAnsi="Calibri"/>
          <w:sz w:val="22"/>
          <w:szCs w:val="22"/>
          <w:lang w:val="sr-Cyrl-CS"/>
        </w:rPr>
        <w:t xml:space="preserve"> 5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Закона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концесијама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имају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идентично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значење</w:t>
      </w:r>
      <w:r w:rsidR="00577955" w:rsidRPr="00B649D0">
        <w:rPr>
          <w:rFonts w:ascii="Calibri" w:hAnsi="Calibri"/>
          <w:sz w:val="22"/>
          <w:szCs w:val="22"/>
          <w:lang w:val="sr-Cyrl-CS"/>
        </w:rPr>
        <w:t>:</w:t>
      </w:r>
    </w:p>
    <w:p w:rsidR="00577955" w:rsidRPr="00B649D0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>а</w:t>
      </w:r>
      <w:r w:rsidR="00577955" w:rsidRPr="00F72496">
        <w:rPr>
          <w:rFonts w:ascii="Calibri" w:hAnsi="Calibri"/>
          <w:b/>
          <w:sz w:val="22"/>
          <w:szCs w:val="22"/>
          <w:lang w:val="sr-Cyrl-CS"/>
        </w:rPr>
        <w:t>)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„</w:t>
      </w:r>
      <w:r>
        <w:rPr>
          <w:rFonts w:ascii="Calibri" w:hAnsi="Calibri"/>
          <w:sz w:val="22"/>
          <w:szCs w:val="22"/>
          <w:lang w:val="sr-Cyrl-CS"/>
        </w:rPr>
        <w:t>концедент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“ </w:t>
      </w:r>
      <w:r>
        <w:rPr>
          <w:rFonts w:ascii="Calibri" w:hAnsi="Calibri"/>
          <w:sz w:val="22"/>
          <w:szCs w:val="22"/>
          <w:lang w:val="sr-Cyrl-CS"/>
        </w:rPr>
        <w:t>је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Влада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Републике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Српске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(</w:t>
      </w:r>
      <w:r>
        <w:rPr>
          <w:rFonts w:ascii="Calibri" w:hAnsi="Calibri"/>
          <w:sz w:val="22"/>
          <w:szCs w:val="22"/>
          <w:lang w:val="sr-Cyrl-CS"/>
        </w:rPr>
        <w:t>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даљем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текс</w:t>
      </w:r>
      <w:r>
        <w:rPr>
          <w:rFonts w:ascii="Calibri" w:hAnsi="Calibri"/>
          <w:sz w:val="22"/>
          <w:szCs w:val="22"/>
          <w:lang w:val="sr-Cyrl-BA"/>
        </w:rPr>
        <w:t>т</w:t>
      </w:r>
      <w:r>
        <w:rPr>
          <w:rFonts w:ascii="Calibri" w:hAnsi="Calibri"/>
          <w:sz w:val="22"/>
          <w:szCs w:val="22"/>
          <w:lang w:val="sr-Cyrl-CS"/>
        </w:rPr>
        <w:t>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: </w:t>
      </w:r>
      <w:r>
        <w:rPr>
          <w:rFonts w:ascii="Calibri" w:hAnsi="Calibri"/>
          <w:sz w:val="22"/>
          <w:szCs w:val="22"/>
          <w:lang w:val="sr-Cyrl-CS"/>
        </w:rPr>
        <w:t>Влада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), </w:t>
      </w:r>
      <w:r>
        <w:rPr>
          <w:rFonts w:ascii="Calibri" w:hAnsi="Calibri"/>
          <w:sz w:val="22"/>
          <w:szCs w:val="22"/>
          <w:lang w:val="sr-Cyrl-CS"/>
        </w:rPr>
        <w:t>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име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Републике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или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скупштина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јединице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локалне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самоуправе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име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јединице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локалне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самоуправе</w:t>
      </w:r>
      <w:r w:rsidR="00577955" w:rsidRPr="00B649D0">
        <w:rPr>
          <w:rFonts w:ascii="Calibri" w:hAnsi="Calibri"/>
          <w:sz w:val="22"/>
          <w:szCs w:val="22"/>
          <w:lang w:val="sr-Cyrl-CS"/>
        </w:rPr>
        <w:t>.</w:t>
      </w:r>
    </w:p>
    <w:p w:rsidR="00577955" w:rsidRPr="00B649D0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>б</w:t>
      </w:r>
      <w:r w:rsidR="00577955" w:rsidRPr="00F72496">
        <w:rPr>
          <w:rFonts w:ascii="Calibri" w:hAnsi="Calibri"/>
          <w:b/>
          <w:sz w:val="22"/>
          <w:szCs w:val="22"/>
          <w:lang w:val="sr-Cyrl-CS"/>
        </w:rPr>
        <w:t>)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„</w:t>
      </w:r>
      <w:r>
        <w:rPr>
          <w:rFonts w:ascii="Calibri" w:hAnsi="Calibri"/>
          <w:sz w:val="22"/>
          <w:szCs w:val="22"/>
          <w:lang w:val="sr-Cyrl-CS"/>
        </w:rPr>
        <w:t>концесионар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“ </w:t>
      </w:r>
      <w:r>
        <w:rPr>
          <w:rFonts w:ascii="Calibri" w:hAnsi="Calibri"/>
          <w:sz w:val="22"/>
          <w:szCs w:val="22"/>
          <w:lang w:val="sr-Cyrl-CS"/>
        </w:rPr>
        <w:t>је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привредно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друштво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основано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складу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прописима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Републике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</w:rPr>
        <w:t>са</w:t>
      </w:r>
      <w:r w:rsidR="003D6FC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којим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је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концедент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закључио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уговор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концесији</w:t>
      </w:r>
      <w:r w:rsidR="00577955" w:rsidRPr="00B649D0">
        <w:rPr>
          <w:rFonts w:ascii="Calibri" w:hAnsi="Calibri"/>
          <w:sz w:val="22"/>
          <w:szCs w:val="22"/>
          <w:lang w:val="sr-Cyrl-CS"/>
        </w:rPr>
        <w:t>,</w:t>
      </w:r>
    </w:p>
    <w:p w:rsidR="00577955" w:rsidRPr="00B649D0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>в</w:t>
      </w:r>
      <w:r w:rsidR="00577955" w:rsidRPr="00F72496">
        <w:rPr>
          <w:rFonts w:ascii="Calibri" w:hAnsi="Calibri"/>
          <w:b/>
          <w:sz w:val="22"/>
          <w:szCs w:val="22"/>
          <w:lang w:val="sr-Cyrl-CS"/>
        </w:rPr>
        <w:t>)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„</w:t>
      </w:r>
      <w:r>
        <w:rPr>
          <w:rFonts w:ascii="Calibri" w:hAnsi="Calibri"/>
          <w:sz w:val="22"/>
          <w:szCs w:val="22"/>
          <w:lang w:val="sr-Cyrl-CS"/>
        </w:rPr>
        <w:t>надлежни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орган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“ </w:t>
      </w:r>
      <w:r>
        <w:rPr>
          <w:rFonts w:ascii="Calibri" w:hAnsi="Calibri"/>
          <w:sz w:val="22"/>
          <w:szCs w:val="22"/>
          <w:lang w:val="sr-Cyrl-CS"/>
        </w:rPr>
        <w:t>је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минстарство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надлежно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поједину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област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коју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спада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предмет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чију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додјелу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је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надлежна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Влада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односно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градоначелник</w:t>
      </w:r>
      <w:r w:rsidR="007C6C09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или</w:t>
      </w:r>
      <w:r w:rsidR="007C6C09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начелник</w:t>
      </w:r>
      <w:r w:rsidR="007C6C09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општине</w:t>
      </w:r>
      <w:r w:rsidR="007C6C09" w:rsidRPr="00B649D0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за</w:t>
      </w:r>
      <w:r w:rsidR="007C6C09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предмет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из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надлежности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јединица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локалне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самоуправе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складу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овим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законом</w:t>
      </w:r>
      <w:r w:rsidR="00577955" w:rsidRPr="00B649D0">
        <w:rPr>
          <w:rFonts w:ascii="Calibri" w:hAnsi="Calibri"/>
          <w:sz w:val="22"/>
          <w:szCs w:val="22"/>
          <w:lang w:val="sr-Cyrl-CS"/>
        </w:rPr>
        <w:t>,</w:t>
      </w:r>
    </w:p>
    <w:p w:rsidR="00577955" w:rsidRPr="00B649D0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>г</w:t>
      </w:r>
      <w:r w:rsidR="007C6C09" w:rsidRPr="00F72496">
        <w:rPr>
          <w:rFonts w:ascii="Calibri" w:hAnsi="Calibri"/>
          <w:b/>
          <w:sz w:val="22"/>
          <w:szCs w:val="22"/>
          <w:lang w:val="sr-Cyrl-CS"/>
        </w:rPr>
        <w:t>)</w:t>
      </w:r>
      <w:r w:rsidR="007C6C09" w:rsidRPr="00B649D0">
        <w:rPr>
          <w:rFonts w:ascii="Calibri" w:hAnsi="Calibri"/>
          <w:sz w:val="22"/>
          <w:szCs w:val="22"/>
          <w:lang w:val="sr-Cyrl-CS"/>
        </w:rPr>
        <w:t xml:space="preserve"> „</w:t>
      </w:r>
      <w:r>
        <w:rPr>
          <w:rFonts w:ascii="Calibri" w:hAnsi="Calibri"/>
          <w:sz w:val="22"/>
          <w:szCs w:val="22"/>
          <w:lang w:val="sr-Cyrl-CS"/>
        </w:rPr>
        <w:t>понуђач</w:t>
      </w:r>
      <w:r w:rsidR="007C6C09" w:rsidRPr="00B649D0">
        <w:rPr>
          <w:rFonts w:ascii="Calibri" w:hAnsi="Calibri"/>
          <w:sz w:val="22"/>
          <w:szCs w:val="22"/>
          <w:lang w:val="sr-Cyrl-CS"/>
        </w:rPr>
        <w:t xml:space="preserve">“ </w:t>
      </w:r>
      <w:r>
        <w:rPr>
          <w:rFonts w:ascii="Calibri" w:hAnsi="Calibri"/>
          <w:sz w:val="22"/>
          <w:szCs w:val="22"/>
          <w:lang w:val="sr-Cyrl-CS"/>
        </w:rPr>
        <w:t>је</w:t>
      </w:r>
      <w:r w:rsidR="007C6C09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свако</w:t>
      </w:r>
      <w:r w:rsidR="007C6C09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домаће</w:t>
      </w:r>
      <w:r w:rsidR="007C6C09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или</w:t>
      </w:r>
      <w:r w:rsidR="007C6C09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страно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правно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или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физичко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лице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конзорцијум</w:t>
      </w:r>
      <w:r w:rsidR="007C6C09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два</w:t>
      </w:r>
      <w:r w:rsidR="007C6C09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или</w:t>
      </w:r>
      <w:r w:rsidR="007C6C09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више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уговором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повезаних</w:t>
      </w:r>
      <w:r w:rsidR="00805C5A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правних</w:t>
      </w:r>
      <w:r w:rsidR="00805C5A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лица</w:t>
      </w:r>
      <w:r w:rsidR="00805C5A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који</w:t>
      </w:r>
      <w:r w:rsidR="00805C5A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је</w:t>
      </w:r>
      <w:r w:rsidR="00805C5A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доставио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понуду</w:t>
      </w:r>
      <w:r w:rsidR="00ED38E4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</w:t>
      </w:r>
      <w:r w:rsidR="00ED38E4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поступку</w:t>
      </w:r>
      <w:r w:rsidR="00ED38E4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додјеле</w:t>
      </w:r>
      <w:r w:rsidR="00ED38E4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концесије</w:t>
      </w:r>
      <w:r w:rsidR="00ED38E4">
        <w:rPr>
          <w:rFonts w:ascii="Calibri" w:hAnsi="Calibri"/>
          <w:sz w:val="22"/>
          <w:szCs w:val="22"/>
          <w:lang w:val="sr-Cyrl-CS"/>
        </w:rPr>
        <w:t>,</w:t>
      </w:r>
    </w:p>
    <w:p w:rsidR="00577955" w:rsidRPr="00B649D0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>д</w:t>
      </w:r>
      <w:r w:rsidR="00577955" w:rsidRPr="00F72496">
        <w:rPr>
          <w:rFonts w:ascii="Calibri" w:hAnsi="Calibri"/>
          <w:b/>
          <w:sz w:val="22"/>
          <w:szCs w:val="22"/>
          <w:lang w:val="sr-Cyrl-CS"/>
        </w:rPr>
        <w:t>)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„</w:t>
      </w:r>
      <w:r>
        <w:rPr>
          <w:rFonts w:ascii="Calibri" w:hAnsi="Calibri"/>
          <w:sz w:val="22"/>
          <w:szCs w:val="22"/>
          <w:lang w:val="sr-Cyrl-CS"/>
        </w:rPr>
        <w:t>студија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оправданости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“ </w:t>
      </w:r>
      <w:r>
        <w:rPr>
          <w:rFonts w:ascii="Calibri" w:hAnsi="Calibri"/>
          <w:sz w:val="22"/>
          <w:szCs w:val="22"/>
          <w:lang w:val="sr-Cyrl-CS"/>
        </w:rPr>
        <w:t>додјеле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је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документ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техничкој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финансијској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економској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еколошкој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правној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анализи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оправданости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додјеле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(</w:t>
      </w:r>
      <w:r>
        <w:rPr>
          <w:rFonts w:ascii="Calibri" w:hAnsi="Calibri"/>
          <w:sz w:val="22"/>
          <w:szCs w:val="22"/>
          <w:lang w:val="sr-Cyrl-CS"/>
        </w:rPr>
        <w:t>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даљем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тексту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: </w:t>
      </w:r>
      <w:r>
        <w:rPr>
          <w:rFonts w:ascii="Calibri" w:hAnsi="Calibri"/>
          <w:sz w:val="22"/>
          <w:szCs w:val="22"/>
          <w:lang w:val="sr-Cyrl-CS"/>
        </w:rPr>
        <w:t>студија</w:t>
      </w:r>
      <w:r w:rsidR="00577955" w:rsidRPr="00B649D0">
        <w:rPr>
          <w:rFonts w:ascii="Calibri" w:hAnsi="Calibri"/>
          <w:sz w:val="22"/>
          <w:szCs w:val="22"/>
          <w:lang w:val="sr-Cyrl-CS"/>
        </w:rPr>
        <w:t>),</w:t>
      </w:r>
    </w:p>
    <w:p w:rsidR="00577955" w:rsidRPr="00B649D0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>ђ</w:t>
      </w:r>
      <w:r w:rsidR="00577955" w:rsidRPr="00F72496">
        <w:rPr>
          <w:rFonts w:ascii="Calibri" w:hAnsi="Calibri"/>
          <w:b/>
          <w:sz w:val="22"/>
          <w:szCs w:val="22"/>
          <w:lang w:val="sr-Cyrl-CS"/>
        </w:rPr>
        <w:t>)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„</w:t>
      </w:r>
      <w:r>
        <w:rPr>
          <w:rFonts w:ascii="Calibri" w:hAnsi="Calibri"/>
          <w:sz w:val="22"/>
          <w:szCs w:val="22"/>
          <w:lang w:val="sr-Cyrl-CS"/>
        </w:rPr>
        <w:t>концесиона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накнада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“ </w:t>
      </w:r>
      <w:r>
        <w:rPr>
          <w:rFonts w:ascii="Calibri" w:hAnsi="Calibri"/>
          <w:sz w:val="22"/>
          <w:szCs w:val="22"/>
          <w:lang w:val="sr-Cyrl-CS"/>
        </w:rPr>
        <w:t>је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накнада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коју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плаћа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концесионар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складу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уговором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који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уређује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</w:p>
    <w:p w:rsidR="00577955" w:rsidRPr="00B33BDD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>е</w:t>
      </w:r>
      <w:r w:rsidR="00577955" w:rsidRPr="00F72496">
        <w:rPr>
          <w:rFonts w:ascii="Calibri" w:hAnsi="Calibri"/>
          <w:b/>
          <w:sz w:val="22"/>
          <w:szCs w:val="22"/>
          <w:lang w:val="sr-Cyrl-CS"/>
        </w:rPr>
        <w:t>)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„</w:t>
      </w:r>
      <w:r>
        <w:rPr>
          <w:rFonts w:ascii="Calibri" w:hAnsi="Calibri"/>
          <w:sz w:val="22"/>
          <w:szCs w:val="22"/>
          <w:lang w:val="sr-Cyrl-CS"/>
        </w:rPr>
        <w:t>уговор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концесији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“ </w:t>
      </w:r>
      <w:r>
        <w:rPr>
          <w:rFonts w:ascii="Calibri" w:hAnsi="Calibri"/>
          <w:sz w:val="22"/>
          <w:szCs w:val="22"/>
          <w:lang w:val="sr-Cyrl-CS"/>
        </w:rPr>
        <w:t>је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уговор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закључен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писаном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облику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између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концедента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једне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стране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коцесионара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као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изабраног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најповољнијег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понуђача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друге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стране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садржи</w:t>
      </w:r>
      <w:r w:rsidR="007C6C09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одредбе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међусобним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правима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обавезама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уговорних</w:t>
      </w:r>
      <w:r w:rsidR="00577955" w:rsidRPr="00B649D0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страна</w:t>
      </w:r>
      <w:r w:rsidR="00577955" w:rsidRPr="00B649D0">
        <w:rPr>
          <w:rFonts w:ascii="Calibri" w:hAnsi="Calibri"/>
          <w:sz w:val="22"/>
          <w:szCs w:val="22"/>
          <w:lang w:val="sr-Cyrl-CS"/>
        </w:rPr>
        <w:t>.</w:t>
      </w:r>
    </w:p>
    <w:p w:rsidR="00577955" w:rsidRPr="00145AA2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У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току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201</w:t>
      </w:r>
      <w:r w:rsidR="00577955">
        <w:rPr>
          <w:rFonts w:ascii="Calibri" w:hAnsi="Calibri"/>
          <w:sz w:val="22"/>
          <w:szCs w:val="22"/>
          <w:lang w:val="sr-Cyrl-CS"/>
        </w:rPr>
        <w:t>5</w:t>
      </w:r>
      <w:r w:rsidR="00577955" w:rsidRPr="00B33BDD">
        <w:rPr>
          <w:rFonts w:ascii="Calibri" w:hAnsi="Calibri"/>
          <w:sz w:val="22"/>
          <w:szCs w:val="22"/>
          <w:lang w:val="sr-Latn-CS"/>
        </w:rPr>
        <w:t>.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године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Комисија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</w:rPr>
        <w:t>је</w:t>
      </w:r>
      <w:r w:rsidR="00577955" w:rsidRPr="00B33B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проводила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</w:rPr>
        <w:t>активности</w:t>
      </w:r>
      <w:r w:rsidR="00577955" w:rsidRPr="00B33B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у</w:t>
      </w:r>
      <w:r w:rsidR="00577955" w:rsidRPr="00B33B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складу</w:t>
      </w:r>
      <w:r w:rsidR="00577955" w:rsidRPr="00B33B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са</w:t>
      </w:r>
      <w:r w:rsidR="00577955" w:rsidRPr="00B33BD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</w:rPr>
        <w:t>Законом</w:t>
      </w:r>
      <w:r w:rsidR="00577955" w:rsidRPr="00B33B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о</w:t>
      </w:r>
      <w:r w:rsidR="00577955" w:rsidRPr="00B33B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концесијама</w:t>
      </w:r>
      <w:r w:rsidR="00577955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основним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законом</w:t>
      </w:r>
      <w:r w:rsidR="00577955" w:rsidRPr="00145AA2">
        <w:rPr>
          <w:rFonts w:ascii="Calibri" w:hAnsi="Calibri"/>
          <w:sz w:val="22"/>
          <w:szCs w:val="22"/>
          <w:lang w:val="sr-Cyrl-BA"/>
        </w:rPr>
        <w:t>,</w:t>
      </w:r>
      <w:r w:rsidR="00577955" w:rsidRPr="00145AA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Законом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општем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управном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поступку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процесним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законом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Документом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политици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позитивно</w:t>
      </w:r>
      <w:r w:rsidR="00577955" w:rsidRPr="00145AA2">
        <w:rPr>
          <w:rFonts w:ascii="Calibri" w:hAnsi="Calibri"/>
          <w:sz w:val="22"/>
          <w:szCs w:val="22"/>
          <w:lang w:val="sr-Cyrl-BA"/>
        </w:rPr>
        <w:t>-</w:t>
      </w:r>
      <w:r>
        <w:rPr>
          <w:rFonts w:ascii="Calibri" w:hAnsi="Calibri"/>
          <w:sz w:val="22"/>
          <w:szCs w:val="22"/>
          <w:lang w:val="sr-Cyrl-BA"/>
        </w:rPr>
        <w:t>правним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прописима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којима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посредно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или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непосредно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регулише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област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складу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основним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начелима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 </w:t>
      </w:r>
      <w:r>
        <w:rPr>
          <w:rFonts w:ascii="Calibri" w:hAnsi="Calibri"/>
          <w:sz w:val="22"/>
          <w:szCs w:val="22"/>
          <w:lang w:val="sr-Cyrl-CS"/>
        </w:rPr>
        <w:t>поступка</w:t>
      </w:r>
      <w:r w:rsidR="00577955" w:rsidRPr="00145AA2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додјеле</w:t>
      </w:r>
      <w:r w:rsidR="00577955" w:rsidRPr="00145AA2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концесија</w:t>
      </w:r>
      <w:r w:rsidR="00577955" w:rsidRPr="00145AA2">
        <w:rPr>
          <w:rFonts w:ascii="Calibri" w:hAnsi="Calibri"/>
          <w:sz w:val="22"/>
          <w:szCs w:val="22"/>
          <w:lang w:val="sr-Cyrl-CS"/>
        </w:rPr>
        <w:t xml:space="preserve">. </w:t>
      </w:r>
    </w:p>
    <w:p w:rsidR="00577955" w:rsidRPr="00B33BDD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Поступак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додјеле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заснива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начелима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транспарентности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недискриминациј</w:t>
      </w:r>
      <w:r>
        <w:rPr>
          <w:rFonts w:ascii="Calibri" w:hAnsi="Calibri"/>
          <w:sz w:val="22"/>
          <w:szCs w:val="22"/>
        </w:rPr>
        <w:t>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тржишн</w:t>
      </w:r>
      <w:r>
        <w:rPr>
          <w:rFonts w:ascii="Calibri" w:hAnsi="Calibri"/>
          <w:sz w:val="22"/>
          <w:szCs w:val="22"/>
        </w:rPr>
        <w:t>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конкуренциј</w:t>
      </w:r>
      <w:r>
        <w:rPr>
          <w:rFonts w:ascii="Calibri" w:hAnsi="Calibri"/>
          <w:sz w:val="22"/>
          <w:szCs w:val="22"/>
        </w:rPr>
        <w:t>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једнако</w:t>
      </w:r>
      <w:r>
        <w:rPr>
          <w:rFonts w:ascii="Calibri" w:hAnsi="Calibri"/>
          <w:sz w:val="22"/>
          <w:szCs w:val="22"/>
          <w:lang w:val="sr-Cyrl-BA"/>
        </w:rPr>
        <w:t>г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третмана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понуђача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слободе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кретања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роба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услуга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заштите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јавног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интереса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ефикасности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економичности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пропорционалности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заштите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животне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средине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равноправности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уговорних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страна</w:t>
      </w:r>
      <w:r w:rsidR="00577955" w:rsidRPr="00B33BDD">
        <w:rPr>
          <w:rFonts w:ascii="Calibri" w:hAnsi="Calibri"/>
          <w:sz w:val="22"/>
          <w:szCs w:val="22"/>
          <w:lang w:val="sr-Cyrl-CS"/>
        </w:rPr>
        <w:t>.</w:t>
      </w:r>
    </w:p>
    <w:p w:rsidR="00577955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lastRenderedPageBreak/>
        <w:t>Прокламованим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начелима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поступка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додјеле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концесија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обезбјеђује</w:t>
      </w:r>
      <w:r w:rsidR="00577955" w:rsidRPr="00B33BD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се</w:t>
      </w:r>
      <w:r w:rsidR="00577955" w:rsidRPr="00B33BDD">
        <w:rPr>
          <w:rFonts w:ascii="Calibri" w:hAnsi="Calibri"/>
          <w:sz w:val="22"/>
          <w:szCs w:val="22"/>
          <w:lang w:val="sr-Cyrl-CS"/>
        </w:rPr>
        <w:t>:</w:t>
      </w:r>
    </w:p>
    <w:p w:rsidR="00577955" w:rsidRPr="001569C4" w:rsidRDefault="00DD65E6" w:rsidP="00B21446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Latn-BA"/>
        </w:rPr>
        <w:t>Унапређење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привредних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активности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путем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улагања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домаћег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страног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капитала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,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што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све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скупа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треба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оствари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повољније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економске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ефекте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Републику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Српску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>;</w:t>
      </w:r>
    </w:p>
    <w:p w:rsidR="00577955" w:rsidRPr="001569C4" w:rsidRDefault="00DD65E6" w:rsidP="00B21446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Latn-BA"/>
        </w:rPr>
        <w:t>Домаћим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страним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привредним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друштвима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под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једнаким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условима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добију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право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коришћења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јавних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добара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,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природних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богатстава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других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добара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од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општег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интереса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,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као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право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на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обављање</w:t>
      </w:r>
      <w:r w:rsidR="00ED38E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дјелатности</w:t>
      </w:r>
      <w:r w:rsidR="00ED38E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од</w:t>
      </w:r>
      <w:r w:rsidR="00ED38E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општег</w:t>
      </w:r>
      <w:r w:rsidR="00ED38E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интереса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у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складу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Законом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концесијама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>;</w:t>
      </w:r>
    </w:p>
    <w:p w:rsidR="00577955" w:rsidRPr="001569C4" w:rsidRDefault="00DD65E6" w:rsidP="00B21446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Latn-BA"/>
        </w:rPr>
        <w:t>Исти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правни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положај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домаћих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страних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привредних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друштава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у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поступку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додјеле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концесија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; </w:t>
      </w:r>
    </w:p>
    <w:p w:rsidR="00577955" w:rsidRPr="001569C4" w:rsidRDefault="00DD65E6" w:rsidP="00B21446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Latn-BA"/>
        </w:rPr>
        <w:t>Једнакост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услова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за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закључење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,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као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за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раскид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уговора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концесији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>;</w:t>
      </w:r>
    </w:p>
    <w:p w:rsidR="00577955" w:rsidRPr="001569C4" w:rsidRDefault="00DD65E6" w:rsidP="00B21446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Latn-BA"/>
        </w:rPr>
        <w:t>Заштита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јавног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интереса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у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поступку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додјеле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концесија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; </w:t>
      </w:r>
    </w:p>
    <w:p w:rsidR="00577955" w:rsidRPr="001569C4" w:rsidRDefault="00DD65E6" w:rsidP="00B21446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Cyrl-BA"/>
        </w:rPr>
        <w:t>Право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Републике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Српске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додјељује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концесије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,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када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предмет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концесије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реализује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на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њеној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територији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>;</w:t>
      </w:r>
    </w:p>
    <w:p w:rsidR="00577955" w:rsidRPr="001569C4" w:rsidRDefault="00DD65E6" w:rsidP="00B21446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Latn-BA"/>
        </w:rPr>
        <w:t>Ограничено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трајање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концесионог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периода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,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чији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је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максималан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рок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утврђен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Законом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уговором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концесији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>;</w:t>
      </w:r>
    </w:p>
    <w:p w:rsidR="001B077B" w:rsidRPr="00CA7CED" w:rsidRDefault="00DD65E6" w:rsidP="00CA7CED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Latn-BA"/>
        </w:rPr>
        <w:t>Предаја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изграђених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објеката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,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уређаја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постројења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престанку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концесије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у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својину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Републике</w:t>
      </w:r>
      <w:r w:rsidR="00577955" w:rsidRPr="001569C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Српске</w:t>
      </w:r>
      <w:r w:rsidR="001B077B">
        <w:rPr>
          <w:rFonts w:asciiTheme="minorHAnsi" w:eastAsiaTheme="minorHAnsi" w:hAnsiTheme="minorHAnsi"/>
          <w:sz w:val="22"/>
          <w:szCs w:val="22"/>
          <w:lang w:val="sr-Cyrl-BA"/>
        </w:rPr>
        <w:t>.</w:t>
      </w:r>
    </w:p>
    <w:p w:rsidR="00CA7CED" w:rsidRPr="00CA7CED" w:rsidRDefault="00CA7CED" w:rsidP="00CA7CED">
      <w:pPr>
        <w:pStyle w:val="NoSpacing"/>
        <w:ind w:left="720"/>
        <w:rPr>
          <w:rFonts w:asciiTheme="minorHAnsi" w:eastAsiaTheme="minorHAnsi" w:hAnsiTheme="minorHAnsi"/>
          <w:sz w:val="22"/>
          <w:szCs w:val="22"/>
          <w:lang w:val="sr-Latn-BA"/>
        </w:rPr>
      </w:pPr>
    </w:p>
    <w:p w:rsidR="00882DD5" w:rsidRDefault="00DD65E6" w:rsidP="00577955">
      <w:pPr>
        <w:spacing w:after="120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sr-Cyrl-BA"/>
        </w:rPr>
        <w:t>Рад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Комисије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заснива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се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на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одредбама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Закона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о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концесијама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(„</w:t>
      </w:r>
      <w:r>
        <w:rPr>
          <w:rFonts w:ascii="Calibri" w:hAnsi="Calibri"/>
          <w:noProof/>
          <w:sz w:val="22"/>
          <w:szCs w:val="22"/>
          <w:lang w:val="sr-Cyrl-BA"/>
        </w:rPr>
        <w:t>Службени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гласник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Републике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Српске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“, </w:t>
      </w:r>
      <w:r>
        <w:rPr>
          <w:rFonts w:ascii="Calibri" w:hAnsi="Calibri"/>
          <w:noProof/>
          <w:sz w:val="22"/>
          <w:szCs w:val="22"/>
          <w:lang w:val="sr-Cyrl-BA"/>
        </w:rPr>
        <w:t>број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: 59/13), </w:t>
      </w:r>
      <w:r>
        <w:rPr>
          <w:rFonts w:ascii="Calibri" w:hAnsi="Calibri"/>
          <w:noProof/>
          <w:sz w:val="22"/>
          <w:szCs w:val="22"/>
          <w:lang w:val="sr-Cyrl-BA"/>
        </w:rPr>
        <w:t>подзаконским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актима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и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Документа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о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политици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додјеле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концесије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(„</w:t>
      </w:r>
      <w:r>
        <w:rPr>
          <w:rFonts w:ascii="Calibri" w:hAnsi="Calibri"/>
          <w:noProof/>
          <w:sz w:val="22"/>
          <w:szCs w:val="22"/>
          <w:lang w:val="sr-Cyrl-BA"/>
        </w:rPr>
        <w:t>Службени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гласник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Републике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Српске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“, </w:t>
      </w:r>
      <w:r>
        <w:rPr>
          <w:rFonts w:ascii="Calibri" w:hAnsi="Calibri"/>
          <w:noProof/>
          <w:sz w:val="22"/>
          <w:szCs w:val="22"/>
          <w:lang w:val="sr-Cyrl-BA"/>
        </w:rPr>
        <w:t>број</w:t>
      </w:r>
      <w:r w:rsidR="00577955" w:rsidRPr="00B33BDD">
        <w:rPr>
          <w:rFonts w:ascii="Calibri" w:hAnsi="Calibri"/>
          <w:noProof/>
          <w:sz w:val="22"/>
          <w:szCs w:val="22"/>
          <w:lang w:val="sr-Cyrl-BA"/>
        </w:rPr>
        <w:t xml:space="preserve">: 31/06). </w:t>
      </w:r>
    </w:p>
    <w:p w:rsidR="00577955" w:rsidRPr="00145AA2" w:rsidRDefault="00DD65E6" w:rsidP="00577955">
      <w:pPr>
        <w:spacing w:after="120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sr-Cyrl-BA"/>
        </w:rPr>
        <w:t>Комисија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својој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дјелатности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процесном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дијелу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поступала</w:t>
      </w:r>
      <w:r w:rsidR="00921B99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у</w:t>
      </w:r>
      <w:r w:rsidR="00921B99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складу</w:t>
      </w:r>
      <w:r w:rsidR="00921B99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са</w:t>
      </w:r>
      <w:r w:rsidR="00921B99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одредбама</w:t>
      </w:r>
      <w:r w:rsidR="00921B99" w:rsidRPr="00145AA2">
        <w:rPr>
          <w:rFonts w:ascii="Calibri" w:hAnsi="Calibri"/>
          <w:noProof/>
          <w:sz w:val="22"/>
          <w:szCs w:val="22"/>
          <w:lang w:val="sr-Cyrl-BA"/>
        </w:rPr>
        <w:t xml:space="preserve">  </w:t>
      </w:r>
      <w:r>
        <w:rPr>
          <w:rFonts w:ascii="Calibri" w:hAnsi="Calibri"/>
          <w:noProof/>
          <w:sz w:val="22"/>
          <w:szCs w:val="22"/>
          <w:lang w:val="sr-Cyrl-BA"/>
        </w:rPr>
        <w:t>Закона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о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општем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управном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поступку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. </w:t>
      </w:r>
    </w:p>
    <w:p w:rsidR="00577955" w:rsidRPr="00145AA2" w:rsidRDefault="00DD65E6" w:rsidP="00577955">
      <w:pPr>
        <w:spacing w:after="120"/>
        <w:jc w:val="both"/>
        <w:rPr>
          <w:rFonts w:ascii="Calibri" w:hAnsi="Calibri"/>
          <w:noProof/>
          <w:sz w:val="22"/>
          <w:szCs w:val="22"/>
          <w:lang w:val="sr-Cyrl-BA"/>
        </w:rPr>
      </w:pPr>
      <w:r>
        <w:rPr>
          <w:rFonts w:ascii="Calibri" w:hAnsi="Calibri"/>
          <w:noProof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2015.</w:t>
      </w:r>
      <w:r w:rsidR="00ED38E4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години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Комисија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за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концесије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Републике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Српске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свом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раду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имала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специфичну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ситуацију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>:</w:t>
      </w:r>
    </w:p>
    <w:p w:rsidR="00577955" w:rsidRPr="00145AA2" w:rsidRDefault="001B077B" w:rsidP="00577955">
      <w:pPr>
        <w:spacing w:after="120"/>
        <w:jc w:val="both"/>
        <w:rPr>
          <w:rFonts w:ascii="Calibri" w:hAnsi="Calibri"/>
          <w:noProof/>
          <w:sz w:val="22"/>
          <w:szCs w:val="22"/>
          <w:lang w:val="sr-Cyrl-BA"/>
        </w:rPr>
      </w:pPr>
      <w:r>
        <w:rPr>
          <w:rFonts w:ascii="Calibri" w:hAnsi="Calibri"/>
          <w:noProof/>
          <w:sz w:val="22"/>
          <w:szCs w:val="22"/>
          <w:lang w:val="sr-Cyrl-BA"/>
        </w:rPr>
        <w:t>-</w:t>
      </w:r>
      <w:r w:rsidR="00A14FA8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Народна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скупштина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Републике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Српске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на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својој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6.</w:t>
      </w:r>
      <w:r w:rsidR="003B177A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>(</w:t>
      </w:r>
      <w:r w:rsidR="00DD65E6">
        <w:rPr>
          <w:rFonts w:ascii="Calibri" w:hAnsi="Calibri"/>
          <w:noProof/>
          <w:sz w:val="22"/>
          <w:szCs w:val="22"/>
          <w:lang w:val="sr-Cyrl-BA"/>
        </w:rPr>
        <w:t>шестој</w:t>
      </w:r>
      <w:r w:rsidR="003B177A">
        <w:rPr>
          <w:rFonts w:ascii="Calibri" w:hAnsi="Calibri"/>
          <w:noProof/>
          <w:sz w:val="22"/>
          <w:szCs w:val="22"/>
          <w:lang w:val="sr-Cyrl-BA"/>
        </w:rPr>
        <w:t xml:space="preserve">)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сједници</w:t>
      </w:r>
      <w:r w:rsidR="003B177A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одржаној</w:t>
      </w:r>
      <w:r w:rsidR="003B177A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дана</w:t>
      </w:r>
      <w:r w:rsidR="003B177A">
        <w:rPr>
          <w:rFonts w:ascii="Calibri" w:hAnsi="Calibri"/>
          <w:noProof/>
          <w:sz w:val="22"/>
          <w:szCs w:val="22"/>
          <w:lang w:val="sr-Cyrl-BA"/>
        </w:rPr>
        <w:t xml:space="preserve"> 23.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септембра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2015.</w:t>
      </w:r>
      <w:r w:rsidR="003B177A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године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, </w:t>
      </w:r>
      <w:r w:rsidR="00DD65E6">
        <w:rPr>
          <w:rFonts w:ascii="Calibri" w:hAnsi="Calibri"/>
          <w:noProof/>
          <w:sz w:val="22"/>
          <w:szCs w:val="22"/>
          <w:lang w:val="sr-Cyrl-BA"/>
        </w:rPr>
        <w:t>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због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истека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мандата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чланова</w:t>
      </w:r>
      <w:r w:rsidR="00CA7CE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Комисије</w:t>
      </w:r>
      <w:r w:rsidR="00CA7CE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за</w:t>
      </w:r>
      <w:r w:rsidR="00CA7CED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концесије</w:t>
      </w:r>
      <w:r w:rsidR="00CA7CED">
        <w:rPr>
          <w:rFonts w:ascii="Calibri" w:hAnsi="Calibri"/>
          <w:noProof/>
          <w:sz w:val="22"/>
          <w:szCs w:val="22"/>
          <w:lang w:val="sr-Cyrl-BA"/>
        </w:rPr>
        <w:t xml:space="preserve"> (</w:t>
      </w:r>
      <w:r w:rsidR="00DD65E6">
        <w:rPr>
          <w:rFonts w:ascii="Calibri" w:hAnsi="Calibri"/>
          <w:noProof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даљем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тексту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: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Стари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сазив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Комисије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за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концесије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Републике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Срспке</w:t>
      </w:r>
      <w:r w:rsidR="00AF12C2">
        <w:rPr>
          <w:rFonts w:ascii="Calibri" w:hAnsi="Calibri"/>
          <w:noProof/>
          <w:sz w:val="22"/>
          <w:szCs w:val="22"/>
          <w:lang w:val="sr-Cyrl-BA"/>
        </w:rPr>
        <w:t xml:space="preserve">),  </w:t>
      </w:r>
      <w:r w:rsidR="00DD65E6">
        <w:rPr>
          <w:rFonts w:ascii="Calibri" w:hAnsi="Calibri"/>
          <w:noProof/>
          <w:sz w:val="22"/>
          <w:szCs w:val="22"/>
          <w:lang w:val="sr-Cyrl-BA"/>
        </w:rPr>
        <w:t>у</w:t>
      </w:r>
      <w:r w:rsidR="00AF12C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складу</w:t>
      </w:r>
      <w:r w:rsidR="00AF12C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са</w:t>
      </w:r>
      <w:r w:rsidR="00AF12C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чланом</w:t>
      </w:r>
      <w:r w:rsidR="00AF12C2">
        <w:rPr>
          <w:rFonts w:ascii="Calibri" w:hAnsi="Calibri"/>
          <w:noProof/>
          <w:sz w:val="22"/>
          <w:szCs w:val="22"/>
          <w:lang w:val="sr-Cyrl-BA"/>
        </w:rPr>
        <w:t xml:space="preserve"> 66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Закона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о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концесијама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(„</w:t>
      </w:r>
      <w:r w:rsidR="00DD65E6">
        <w:rPr>
          <w:rFonts w:ascii="Calibri" w:hAnsi="Calibri"/>
          <w:noProof/>
          <w:sz w:val="22"/>
          <w:szCs w:val="22"/>
          <w:lang w:val="sr-Cyrl-BA"/>
        </w:rPr>
        <w:t>Службени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гласник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Републике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Српске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“, </w:t>
      </w:r>
      <w:r w:rsidR="00DD65E6">
        <w:rPr>
          <w:rFonts w:ascii="Calibri" w:hAnsi="Calibri"/>
          <w:noProof/>
          <w:sz w:val="22"/>
          <w:szCs w:val="22"/>
          <w:lang w:val="sr-Cyrl-BA"/>
        </w:rPr>
        <w:t>број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: 59/13), </w:t>
      </w:r>
      <w:r w:rsidR="00DD65E6">
        <w:rPr>
          <w:rFonts w:ascii="Calibri" w:hAnsi="Calibri"/>
          <w:noProof/>
          <w:sz w:val="22"/>
          <w:szCs w:val="22"/>
          <w:lang w:val="sr-Cyrl-BA"/>
        </w:rPr>
        <w:t>донијела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Одлуку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о</w:t>
      </w:r>
      <w:r w:rsidR="00921B99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избору</w:t>
      </w:r>
      <w:r w:rsidR="00921B99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Комисије</w:t>
      </w:r>
      <w:r w:rsidR="00921B99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за</w:t>
      </w:r>
      <w:r w:rsidR="00921B99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концесије</w:t>
      </w:r>
      <w:r w:rsidR="00921B99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Републике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Српске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>.</w:t>
      </w:r>
    </w:p>
    <w:p w:rsidR="00577955" w:rsidRPr="00145AA2" w:rsidRDefault="001B077B" w:rsidP="00577955">
      <w:pPr>
        <w:spacing w:after="120"/>
        <w:jc w:val="both"/>
        <w:rPr>
          <w:rFonts w:ascii="Calibri" w:hAnsi="Calibri"/>
          <w:noProof/>
          <w:sz w:val="22"/>
          <w:szCs w:val="22"/>
          <w:lang w:val="sr-Cyrl-BA"/>
        </w:rPr>
      </w:pPr>
      <w:r>
        <w:rPr>
          <w:rFonts w:ascii="Calibri" w:hAnsi="Calibri"/>
          <w:noProof/>
          <w:sz w:val="22"/>
          <w:szCs w:val="22"/>
          <w:lang w:val="sr-Cyrl-BA"/>
        </w:rPr>
        <w:t>-</w:t>
      </w:r>
      <w:r w:rsidR="00A14FA8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Поменута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Одлука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којом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изабран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Нови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сазив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Комисије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за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концесије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Републике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Српске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(</w:t>
      </w:r>
      <w:r w:rsidR="00DD65E6">
        <w:rPr>
          <w:rFonts w:ascii="Calibri" w:hAnsi="Calibri"/>
          <w:noProof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даљем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тексту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: </w:t>
      </w:r>
      <w:r w:rsidR="00DD65E6">
        <w:rPr>
          <w:rFonts w:ascii="Calibri" w:hAnsi="Calibri"/>
          <w:noProof/>
          <w:sz w:val="22"/>
          <w:szCs w:val="22"/>
          <w:lang w:val="sr-Cyrl-BA"/>
        </w:rPr>
        <w:t>Нови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сазив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Комисије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за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концесије</w:t>
      </w:r>
      <w:r w:rsidR="009D3A6A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Републике</w:t>
      </w:r>
      <w:r w:rsidR="009D3A6A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Српске</w:t>
      </w:r>
      <w:r w:rsidR="009D3A6A">
        <w:rPr>
          <w:rFonts w:ascii="Calibri" w:hAnsi="Calibri"/>
          <w:noProof/>
          <w:sz w:val="22"/>
          <w:szCs w:val="22"/>
          <w:lang w:val="sr-Cyrl-BA"/>
        </w:rPr>
        <w:t xml:space="preserve">) </w:t>
      </w:r>
      <w:r w:rsidR="00DD65E6">
        <w:rPr>
          <w:rFonts w:ascii="Calibri" w:hAnsi="Calibri"/>
          <w:noProof/>
          <w:sz w:val="22"/>
          <w:szCs w:val="22"/>
          <w:lang w:val="sr-Cyrl-BA"/>
        </w:rPr>
        <w:t>је</w:t>
      </w:r>
      <w:r w:rsidR="009D3A6A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донесена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под</w:t>
      </w:r>
      <w:r w:rsidR="009D3A6A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бројем</w:t>
      </w:r>
      <w:r w:rsidR="009D3A6A">
        <w:rPr>
          <w:rFonts w:ascii="Calibri" w:hAnsi="Calibri"/>
          <w:noProof/>
          <w:sz w:val="22"/>
          <w:szCs w:val="22"/>
          <w:lang w:val="sr-Cyrl-BA"/>
        </w:rPr>
        <w:t xml:space="preserve"> 02/1-021-1110/15 </w:t>
      </w:r>
      <w:r w:rsidR="00DD65E6">
        <w:rPr>
          <w:rFonts w:ascii="Calibri" w:hAnsi="Calibri"/>
          <w:noProof/>
          <w:sz w:val="22"/>
          <w:szCs w:val="22"/>
          <w:lang w:val="sr-Cyrl-BA"/>
        </w:rPr>
        <w:t>од</w:t>
      </w:r>
      <w:r w:rsidR="009D3A6A">
        <w:rPr>
          <w:rFonts w:ascii="Calibri" w:hAnsi="Calibri"/>
          <w:noProof/>
          <w:sz w:val="22"/>
          <w:szCs w:val="22"/>
          <w:lang w:val="sr-Cyrl-BA"/>
        </w:rPr>
        <w:t xml:space="preserve"> 23.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септембра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2015.</w:t>
      </w:r>
      <w:r w:rsidR="009D3A6A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године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објављена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65209C" w:rsidRPr="00145AA2">
        <w:rPr>
          <w:rFonts w:ascii="Calibri" w:hAnsi="Calibri"/>
          <w:noProof/>
          <w:sz w:val="22"/>
          <w:szCs w:val="22"/>
          <w:lang w:val="sr-Cyrl-BA"/>
        </w:rPr>
        <w:t>„</w:t>
      </w:r>
      <w:r w:rsidR="00DD65E6">
        <w:rPr>
          <w:rFonts w:ascii="Calibri" w:hAnsi="Calibri"/>
          <w:noProof/>
          <w:sz w:val="22"/>
          <w:szCs w:val="22"/>
          <w:lang w:val="sr-Cyrl-BA"/>
        </w:rPr>
        <w:t>Службеном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гласнику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Републике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Српске</w:t>
      </w:r>
      <w:r w:rsidR="0065209C" w:rsidRPr="00145AA2">
        <w:rPr>
          <w:rFonts w:ascii="Calibri" w:hAnsi="Calibri"/>
          <w:noProof/>
          <w:sz w:val="22"/>
          <w:szCs w:val="22"/>
          <w:lang w:val="sr-Cyrl-BA"/>
        </w:rPr>
        <w:t>“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9D3A6A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број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>: 82/15.</w:t>
      </w:r>
    </w:p>
    <w:p w:rsidR="00577955" w:rsidRPr="00145AA2" w:rsidRDefault="001B077B" w:rsidP="00577955">
      <w:pPr>
        <w:spacing w:after="120"/>
        <w:jc w:val="both"/>
        <w:rPr>
          <w:rFonts w:ascii="Calibri" w:hAnsi="Calibri"/>
          <w:noProof/>
          <w:sz w:val="22"/>
          <w:szCs w:val="22"/>
          <w:lang w:val="sr-Cyrl-BA"/>
        </w:rPr>
      </w:pPr>
      <w:r>
        <w:rPr>
          <w:rFonts w:ascii="Calibri" w:hAnsi="Calibri"/>
          <w:noProof/>
          <w:sz w:val="22"/>
          <w:szCs w:val="22"/>
          <w:lang w:val="sr-Cyrl-BA"/>
        </w:rPr>
        <w:t>-</w:t>
      </w:r>
      <w:r w:rsidR="00A14FA8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Рад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Новог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сазива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Комисије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за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концесије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Републике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Српске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практично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почео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даном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01.11.2015.</w:t>
      </w:r>
      <w:r w:rsidR="00A14FA8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године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поменутог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датума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извршено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преузимање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дужности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између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старих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нових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именованих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чланова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просторијама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Комисије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за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концесије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Републике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Српске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>,</w:t>
      </w:r>
      <w:r w:rsidR="00A14FA8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те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преузимање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комплетне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документације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Архиви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Комисије</w:t>
      </w:r>
      <w:r w:rsidR="0065209C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за</w:t>
      </w:r>
      <w:r w:rsidR="0065209C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концесије</w:t>
      </w:r>
      <w:r w:rsidR="0065209C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Републике</w:t>
      </w:r>
      <w:r w:rsidR="0065209C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 w:rsidR="00DD65E6">
        <w:rPr>
          <w:rFonts w:ascii="Calibri" w:hAnsi="Calibri"/>
          <w:noProof/>
          <w:sz w:val="22"/>
          <w:szCs w:val="22"/>
          <w:lang w:val="sr-Cyrl-BA"/>
        </w:rPr>
        <w:t>Српске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>.</w:t>
      </w:r>
    </w:p>
    <w:p w:rsidR="00577955" w:rsidRPr="00145AA2" w:rsidRDefault="00DD65E6" w:rsidP="00577955">
      <w:pPr>
        <w:spacing w:after="120"/>
        <w:jc w:val="both"/>
        <w:rPr>
          <w:rFonts w:ascii="Calibri" w:hAnsi="Calibri"/>
          <w:noProof/>
          <w:sz w:val="22"/>
          <w:szCs w:val="22"/>
          <w:lang w:val="sr-Cyrl-BA"/>
        </w:rPr>
      </w:pPr>
      <w:r>
        <w:rPr>
          <w:rFonts w:ascii="Calibri" w:hAnsi="Calibri"/>
          <w:noProof/>
          <w:sz w:val="22"/>
          <w:szCs w:val="22"/>
          <w:lang w:val="sr-Cyrl-BA"/>
        </w:rPr>
        <w:t>Због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свега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наведеног</w:t>
      </w:r>
      <w:r w:rsidR="001C7DA7">
        <w:rPr>
          <w:rFonts w:ascii="Calibri" w:hAnsi="Calibri"/>
          <w:noProof/>
          <w:sz w:val="22"/>
          <w:szCs w:val="22"/>
          <w:lang w:val="sr-Cyrl-BA"/>
        </w:rPr>
        <w:t>,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редован</w:t>
      </w:r>
      <w:r w:rsidR="00A14FA8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рад</w:t>
      </w:r>
      <w:r w:rsidR="00A14FA8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Комисије</w:t>
      </w:r>
      <w:r w:rsidR="00A14FA8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за</w:t>
      </w:r>
      <w:r w:rsidR="00A14FA8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концесије</w:t>
      </w:r>
      <w:r w:rsidR="00A14FA8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Републике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Српске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се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може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посматрати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2 (</w:t>
      </w:r>
      <w:r>
        <w:rPr>
          <w:rFonts w:ascii="Calibri" w:hAnsi="Calibri"/>
          <w:noProof/>
          <w:sz w:val="22"/>
          <w:szCs w:val="22"/>
          <w:lang w:val="sr-Cyrl-BA"/>
        </w:rPr>
        <w:t>двије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) </w:t>
      </w:r>
      <w:r>
        <w:rPr>
          <w:rFonts w:ascii="Calibri" w:hAnsi="Calibri"/>
          <w:noProof/>
          <w:sz w:val="22"/>
          <w:szCs w:val="22"/>
          <w:lang w:val="sr-Cyrl-BA"/>
        </w:rPr>
        <w:t>цјелине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, </w:t>
      </w:r>
      <w:r>
        <w:rPr>
          <w:rFonts w:ascii="Calibri" w:hAnsi="Calibri"/>
          <w:noProof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то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оквиру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Старог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сазива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периоду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од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01.01.2015.</w:t>
      </w:r>
      <w:r w:rsidR="007671F8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године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до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31.10.2015.</w:t>
      </w:r>
      <w:r w:rsidR="00EE4028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године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Новог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сазива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периоду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од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01.11.2015.</w:t>
      </w:r>
      <w:r w:rsidR="00EE4028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године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до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 31.12.2015.</w:t>
      </w:r>
      <w:r w:rsidR="00EE4028">
        <w:rPr>
          <w:rFonts w:ascii="Calibri" w:hAnsi="Calibri"/>
          <w:noProof/>
          <w:sz w:val="22"/>
          <w:szCs w:val="22"/>
          <w:lang w:val="sr-Cyrl-BA"/>
        </w:rPr>
        <w:t xml:space="preserve"> </w:t>
      </w:r>
      <w:r>
        <w:rPr>
          <w:rFonts w:ascii="Calibri" w:hAnsi="Calibri"/>
          <w:noProof/>
          <w:sz w:val="22"/>
          <w:szCs w:val="22"/>
          <w:lang w:val="sr-Cyrl-BA"/>
        </w:rPr>
        <w:t>године</w:t>
      </w:r>
      <w:r w:rsidR="00577955" w:rsidRPr="00145AA2">
        <w:rPr>
          <w:rFonts w:ascii="Calibri" w:hAnsi="Calibri"/>
          <w:noProof/>
          <w:sz w:val="22"/>
          <w:szCs w:val="22"/>
          <w:lang w:val="sr-Cyrl-BA"/>
        </w:rPr>
        <w:t xml:space="preserve">. </w:t>
      </w:r>
    </w:p>
    <w:p w:rsidR="00577955" w:rsidRPr="00145AA2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Рад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2015. </w:t>
      </w:r>
      <w:r>
        <w:rPr>
          <w:rFonts w:ascii="Calibri" w:hAnsi="Calibri"/>
          <w:sz w:val="22"/>
          <w:szCs w:val="22"/>
          <w:lang w:val="sr-Cyrl-BA"/>
        </w:rPr>
        <w:t>години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обиљежен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бројним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активностима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вези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разматрањем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захтјева</w:t>
      </w:r>
      <w:r w:rsidR="00577955" w:rsidRPr="00145AA2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за</w:t>
      </w:r>
      <w:r w:rsidR="00577955" w:rsidRPr="00145AA2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давање</w:t>
      </w:r>
      <w:r w:rsidR="00577955" w:rsidRPr="00145AA2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сагласности</w:t>
      </w:r>
      <w:r w:rsidR="00577955" w:rsidRPr="00145AA2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</w:t>
      </w:r>
      <w:r w:rsidR="00577955" w:rsidRPr="00145AA2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приједлоге</w:t>
      </w:r>
      <w:r w:rsidR="00577955" w:rsidRPr="00145AA2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уговора</w:t>
      </w:r>
      <w:r w:rsidR="00577955" w:rsidRPr="00145AA2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 w:rsidR="00577955" w:rsidRPr="00145AA2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концесији</w:t>
      </w:r>
      <w:r w:rsidR="00577955" w:rsidRPr="00145AA2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 w:rsidR="00577955" w:rsidRPr="00145AA2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анексе</w:t>
      </w:r>
      <w:r w:rsidR="00577955" w:rsidRPr="00145AA2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уговора</w:t>
      </w:r>
      <w:r w:rsidR="00577955" w:rsidRPr="00145AA2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захтјева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давање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сагласности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Студије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економске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оправданости</w:t>
      </w:r>
      <w:r w:rsidR="0065209C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65209C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заштите</w:t>
      </w:r>
      <w:r w:rsidR="0065209C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животне</w:t>
      </w:r>
      <w:r w:rsidR="0065209C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средине</w:t>
      </w:r>
      <w:r w:rsidR="00F3533A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сагласности</w:t>
      </w:r>
      <w:r w:rsidR="00F3533A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F3533A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Документацију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јавно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надметање</w:t>
      </w:r>
      <w:r w:rsidR="00577955" w:rsidRPr="00145AA2">
        <w:rPr>
          <w:rFonts w:ascii="Calibri" w:hAnsi="Calibri"/>
          <w:sz w:val="22"/>
          <w:szCs w:val="22"/>
          <w:lang w:val="sr-Cyrl-BA"/>
        </w:rPr>
        <w:t>,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сагласности</w:t>
      </w:r>
      <w:r w:rsidR="00F3533A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преговоре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између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Концедента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потенцијалног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концесионара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отварање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вредновање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Понуда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објављеном</w:t>
      </w:r>
      <w:r w:rsidR="00577955" w:rsidRPr="00FC0599">
        <w:rPr>
          <w:rFonts w:ascii="Calibri" w:hAnsi="Calibri"/>
          <w:color w:val="FF0000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Јавном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позиву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одговорима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упите</w:t>
      </w:r>
      <w:r w:rsidR="00CA7CE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ресорних</w:t>
      </w:r>
      <w:r w:rsidR="00CA7CE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министарстава</w:t>
      </w:r>
      <w:r w:rsidR="00CA7CED">
        <w:rPr>
          <w:rFonts w:ascii="Calibri" w:hAnsi="Calibri"/>
          <w:sz w:val="22"/>
          <w:szCs w:val="22"/>
          <w:lang w:val="sr-Cyrl-BA"/>
        </w:rPr>
        <w:t>,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физичких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лица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новинским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агенцијама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јединица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локалне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самоуправе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чијем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подручју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додијељена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lastRenderedPageBreak/>
        <w:t>одговора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упите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концесионара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привредних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друштава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другим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заинтересованим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странама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поступку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додјеле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већ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додијељеним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или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другим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упитима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везаним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област</w:t>
      </w:r>
      <w:r w:rsidR="00AA6686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577955" w:rsidRPr="00145AA2">
        <w:rPr>
          <w:rFonts w:ascii="Calibri" w:hAnsi="Calibri"/>
          <w:sz w:val="22"/>
          <w:szCs w:val="22"/>
          <w:lang w:val="sr-Cyrl-BA"/>
        </w:rPr>
        <w:t>.</w:t>
      </w:r>
    </w:p>
    <w:p w:rsidR="00577955" w:rsidRPr="00145AA2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Нови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сазив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нарочито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ангажовао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 </w:t>
      </w:r>
      <w:r>
        <w:rPr>
          <w:rFonts w:ascii="Calibri" w:hAnsi="Calibri"/>
          <w:sz w:val="22"/>
          <w:szCs w:val="22"/>
          <w:lang w:val="sr-Cyrl-BA"/>
        </w:rPr>
        <w:t>прикупљању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изради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комплетне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базе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података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свих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додијељених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577955" w:rsidRPr="00145AA2">
        <w:rPr>
          <w:rFonts w:ascii="Calibri" w:hAnsi="Calibri"/>
          <w:sz w:val="22"/>
          <w:szCs w:val="22"/>
          <w:lang w:val="sr-Cyrl-BA"/>
        </w:rPr>
        <w:t>,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тачног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подручја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врши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истраживање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>/</w:t>
      </w:r>
      <w:r>
        <w:rPr>
          <w:rFonts w:ascii="Calibri" w:hAnsi="Calibri"/>
          <w:sz w:val="22"/>
          <w:szCs w:val="22"/>
          <w:lang w:val="sr-Cyrl-BA"/>
        </w:rPr>
        <w:t>или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експлоатација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ресурса</w:t>
      </w:r>
      <w:r w:rsidR="00577955" w:rsidRPr="00145AA2">
        <w:rPr>
          <w:rFonts w:ascii="Calibri" w:hAnsi="Calibri"/>
          <w:sz w:val="22"/>
          <w:szCs w:val="22"/>
          <w:lang w:val="sr-Cyrl-BA"/>
        </w:rPr>
        <w:t>,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или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врши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обављање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пољопривредне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производње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или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изградња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туристичких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објеката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те</w:t>
      </w:r>
      <w:r w:rsidR="00CA7CE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осталог</w:t>
      </w:r>
      <w:r w:rsidR="00CA7CE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A7CE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складу</w:t>
      </w:r>
      <w:r w:rsidR="00CA7CE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CA7CED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чланом</w:t>
      </w:r>
      <w:r w:rsidR="00CA7CED">
        <w:rPr>
          <w:rFonts w:ascii="Calibri" w:hAnsi="Calibri"/>
          <w:sz w:val="22"/>
          <w:szCs w:val="22"/>
          <w:lang w:val="sr-Cyrl-BA"/>
        </w:rPr>
        <w:t xml:space="preserve"> 6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Закона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закључених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свим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релевантним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подацима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истом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,  </w:t>
      </w:r>
      <w:r>
        <w:rPr>
          <w:rFonts w:ascii="Calibri" w:hAnsi="Calibri"/>
          <w:sz w:val="22"/>
          <w:szCs w:val="22"/>
          <w:lang w:val="sr-Cyrl-BA"/>
        </w:rPr>
        <w:t>Анекса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уколико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исти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постоје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подаци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пријављеној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уплаћеној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концесионој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накнади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једнократној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концесионој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накнади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право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кориштења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њиховом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одступању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података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концесионарима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осталог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битног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вези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додијељеном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концесијом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закљученим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Уговором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концесији</w:t>
      </w:r>
      <w:r w:rsidR="00577955" w:rsidRPr="00145AA2">
        <w:rPr>
          <w:rFonts w:ascii="Calibri" w:hAnsi="Calibri"/>
          <w:sz w:val="22"/>
          <w:szCs w:val="22"/>
          <w:lang w:val="sr-Cyrl-BA"/>
        </w:rPr>
        <w:t>.</w:t>
      </w:r>
    </w:p>
    <w:p w:rsidR="00577955" w:rsidRPr="00145AA2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сврху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року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оквирно</w:t>
      </w:r>
      <w:r w:rsidR="00FF038B">
        <w:rPr>
          <w:rFonts w:ascii="Calibri" w:hAnsi="Calibri"/>
          <w:sz w:val="22"/>
          <w:szCs w:val="22"/>
          <w:lang w:val="sr-Cyrl-BA"/>
        </w:rPr>
        <w:t xml:space="preserve"> 2 (</w:t>
      </w:r>
      <w:r>
        <w:rPr>
          <w:rFonts w:ascii="Calibri" w:hAnsi="Calibri"/>
          <w:sz w:val="22"/>
          <w:szCs w:val="22"/>
          <w:lang w:val="sr-Cyrl-BA"/>
        </w:rPr>
        <w:t>два</w:t>
      </w:r>
      <w:r w:rsidR="00FF038B">
        <w:rPr>
          <w:rFonts w:ascii="Calibri" w:hAnsi="Calibri"/>
          <w:sz w:val="22"/>
          <w:szCs w:val="22"/>
          <w:lang w:val="sr-Cyrl-BA"/>
        </w:rPr>
        <w:t xml:space="preserve">) </w:t>
      </w:r>
      <w:r>
        <w:rPr>
          <w:rFonts w:ascii="Calibri" w:hAnsi="Calibri"/>
          <w:sz w:val="22"/>
          <w:szCs w:val="22"/>
          <w:lang w:val="sr-Cyrl-BA"/>
        </w:rPr>
        <w:t>мјесеца</w:t>
      </w:r>
      <w:r w:rsidR="00FF038B">
        <w:rPr>
          <w:rFonts w:ascii="Calibri" w:hAnsi="Calibri"/>
          <w:sz w:val="22"/>
          <w:szCs w:val="22"/>
          <w:lang w:val="sr-Cyrl-BA"/>
        </w:rPr>
        <w:t xml:space="preserve"> (</w:t>
      </w:r>
      <w:r>
        <w:rPr>
          <w:rFonts w:ascii="Calibri" w:hAnsi="Calibri"/>
          <w:sz w:val="22"/>
          <w:szCs w:val="22"/>
          <w:lang w:val="sr-Cyrl-BA"/>
        </w:rPr>
        <w:t>децембар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2015.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године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јануар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2016.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године</w:t>
      </w:r>
      <w:r w:rsidR="002931F5" w:rsidRPr="00145AA2">
        <w:rPr>
          <w:rFonts w:ascii="Calibri" w:hAnsi="Calibri"/>
          <w:sz w:val="22"/>
          <w:szCs w:val="22"/>
          <w:lang w:val="sr-Cyrl-BA"/>
        </w:rPr>
        <w:t>)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успостављен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усмени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писмени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контакт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око</w:t>
      </w:r>
      <w:r w:rsidR="00E41FC9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двије</w:t>
      </w:r>
      <w:r w:rsidR="005E15F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стотине</w:t>
      </w:r>
      <w:r w:rsidR="00E41FC9" w:rsidRPr="00145AA2">
        <w:rPr>
          <w:rFonts w:ascii="Calibri" w:hAnsi="Calibri"/>
          <w:sz w:val="22"/>
          <w:szCs w:val="22"/>
          <w:lang w:val="sr-Cyrl-BA"/>
        </w:rPr>
        <w:t xml:space="preserve">  </w:t>
      </w:r>
      <w:r>
        <w:rPr>
          <w:rFonts w:ascii="Calibri" w:hAnsi="Calibri"/>
          <w:sz w:val="22"/>
          <w:szCs w:val="22"/>
          <w:lang w:val="sr-Cyrl-BA"/>
        </w:rPr>
        <w:t>концесионара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ради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доставе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иновираних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података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документације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самом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концесионом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предузећу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предмету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додијељене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новој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техничкој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документацији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израђује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сврху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реализације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Уговора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концесији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осталих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битних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елемената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вези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закљученим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уговором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додјели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те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реализацији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предметних</w:t>
      </w:r>
      <w:r w:rsidR="002931F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уговора</w:t>
      </w:r>
      <w:r w:rsidR="002931F5" w:rsidRPr="00145AA2">
        <w:rPr>
          <w:rFonts w:ascii="Calibri" w:hAnsi="Calibri"/>
          <w:sz w:val="22"/>
          <w:szCs w:val="22"/>
          <w:lang w:val="sr-Cyrl-BA"/>
        </w:rPr>
        <w:t>.</w:t>
      </w:r>
    </w:p>
    <w:p w:rsidR="00577955" w:rsidRPr="00145AA2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Нови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сазив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Комисије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успоставио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директну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сарадњу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Пореском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управом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прибављени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службени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подаци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концесионарима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имају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закључене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обухватају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: </w:t>
      </w:r>
      <w:r>
        <w:rPr>
          <w:rFonts w:ascii="Calibri" w:hAnsi="Calibri"/>
          <w:sz w:val="22"/>
          <w:szCs w:val="22"/>
          <w:lang w:val="sr-Cyrl-BA"/>
        </w:rPr>
        <w:t>износе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појединачне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укупне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обрачунате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уплаћене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накнаде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коришћење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концесионог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добра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једнократне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накнаде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122A3F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прецизним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износима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датумима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уплате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. </w:t>
      </w:r>
    </w:p>
    <w:p w:rsidR="00577955" w:rsidRPr="00145AA2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На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овај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начин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122A3F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122A3F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обезбиједила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одговарајућу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базу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података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финансијској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дисциплини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концесионара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односно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извршењу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финансијских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обавеза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. </w:t>
      </w:r>
      <w:r>
        <w:rPr>
          <w:rFonts w:ascii="Calibri" w:hAnsi="Calibri"/>
          <w:sz w:val="22"/>
          <w:szCs w:val="22"/>
          <w:lang w:val="sr-Cyrl-BA"/>
        </w:rPr>
        <w:t>Ови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подаци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стране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службе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уредно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ажурирају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како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константно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били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доступни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члановима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комисије</w:t>
      </w:r>
      <w:r w:rsidR="00FF038B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али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другим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овлаштеним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лицима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процесу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контроле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остварења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других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послова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јавног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интереса</w:t>
      </w:r>
      <w:r w:rsidR="00577955" w:rsidRPr="00145AA2">
        <w:rPr>
          <w:rFonts w:ascii="Calibri" w:hAnsi="Calibri"/>
          <w:sz w:val="22"/>
          <w:szCs w:val="22"/>
          <w:lang w:val="sr-Cyrl-BA"/>
        </w:rPr>
        <w:t>.</w:t>
      </w:r>
    </w:p>
    <w:p w:rsidR="00577955" w:rsidRPr="00145AA2" w:rsidRDefault="00DD65E6" w:rsidP="00577955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Нови</w:t>
      </w:r>
      <w:r w:rsidR="00122A3F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сазив</w:t>
      </w:r>
      <w:r w:rsidR="00122A3F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сарадњи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надлежним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ресорним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министарствима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Владе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надлежним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јединица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локалне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самоуправе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те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стручним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тијелима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122A3F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локалних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заједница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представницима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домаћих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страних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невладиних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организација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баве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овом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проблематиком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 </w:t>
      </w:r>
      <w:r>
        <w:rPr>
          <w:rFonts w:ascii="Calibri" w:hAnsi="Calibri"/>
          <w:sz w:val="22"/>
          <w:szCs w:val="22"/>
          <w:lang w:val="sr-Cyrl-BA"/>
        </w:rPr>
        <w:t>приступила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 </w:t>
      </w:r>
      <w:r>
        <w:rPr>
          <w:rFonts w:ascii="Calibri" w:hAnsi="Calibri"/>
          <w:sz w:val="22"/>
          <w:szCs w:val="22"/>
          <w:lang w:val="sr-Cyrl-BA"/>
        </w:rPr>
        <w:t>изради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новог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Документа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политици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. </w:t>
      </w:r>
      <w:r>
        <w:rPr>
          <w:rFonts w:ascii="Calibri" w:hAnsi="Calibri"/>
          <w:sz w:val="22"/>
          <w:szCs w:val="22"/>
          <w:lang w:val="sr-Cyrl-BA"/>
        </w:rPr>
        <w:t>Нови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документ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политици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био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прилагођен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новим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привредним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околностима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додатно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усклађен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стратешким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планским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документима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односе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привредни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развој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јединица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локалне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самоуправе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те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правној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регулативи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њеној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  </w:t>
      </w:r>
      <w:r>
        <w:rPr>
          <w:rFonts w:ascii="Calibri" w:hAnsi="Calibri"/>
          <w:sz w:val="22"/>
          <w:szCs w:val="22"/>
          <w:lang w:val="sr-Cyrl-BA"/>
        </w:rPr>
        <w:t>усклађености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прописима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Европске</w:t>
      </w:r>
      <w:r w:rsidR="00577955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Уније</w:t>
      </w:r>
      <w:r w:rsidR="00577955" w:rsidRPr="00145AA2">
        <w:rPr>
          <w:rFonts w:ascii="Calibri" w:hAnsi="Calibri"/>
          <w:sz w:val="22"/>
          <w:szCs w:val="22"/>
          <w:lang w:val="sr-Cyrl-BA"/>
        </w:rPr>
        <w:t>.</w:t>
      </w:r>
    </w:p>
    <w:p w:rsidR="00577955" w:rsidRPr="00C11C71" w:rsidRDefault="00DD65E6" w:rsidP="00577955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sr-Cyrl-BA"/>
        </w:rPr>
        <w:t>Ангажованост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Комисије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посебно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садржана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контролама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провјери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рада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Концесионара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реализацији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закључених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уговора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8179B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8179B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складу</w:t>
      </w:r>
      <w:r w:rsidR="008179B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8179B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чланом</w:t>
      </w:r>
      <w:r w:rsidR="008179BF">
        <w:rPr>
          <w:rFonts w:ascii="Calibri" w:hAnsi="Calibri"/>
          <w:sz w:val="22"/>
          <w:szCs w:val="22"/>
          <w:lang w:val="sr-Cyrl-BA"/>
        </w:rPr>
        <w:t xml:space="preserve"> 58</w:t>
      </w:r>
      <w:r w:rsidR="005E1AE8">
        <w:rPr>
          <w:rFonts w:ascii="Calibri" w:hAnsi="Calibri"/>
          <w:sz w:val="22"/>
          <w:szCs w:val="22"/>
          <w:lang w:val="sr-Cyrl-BA"/>
        </w:rPr>
        <w:t>.</w:t>
      </w:r>
      <w:r w:rsidR="00FF038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Закона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577955" w:rsidRPr="00FC059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C11C71">
        <w:rPr>
          <w:rFonts w:ascii="Calibri" w:hAnsi="Calibri"/>
          <w:sz w:val="22"/>
          <w:szCs w:val="22"/>
        </w:rPr>
        <w:t>.</w:t>
      </w:r>
    </w:p>
    <w:p w:rsidR="00B93607" w:rsidRDefault="00B93607" w:rsidP="00AB2473">
      <w:pPr>
        <w:jc w:val="both"/>
        <w:rPr>
          <w:rFonts w:ascii="Calibri" w:hAnsi="Calibri"/>
          <w:sz w:val="26"/>
          <w:szCs w:val="26"/>
          <w:lang w:val="sr-Cyrl-BA"/>
        </w:rPr>
      </w:pPr>
    </w:p>
    <w:p w:rsidR="00311084" w:rsidRDefault="00311084" w:rsidP="00AB2473">
      <w:pPr>
        <w:jc w:val="both"/>
        <w:rPr>
          <w:rFonts w:ascii="Calibri" w:hAnsi="Calibri"/>
          <w:sz w:val="26"/>
          <w:szCs w:val="26"/>
          <w:lang w:val="sr-Cyrl-BA"/>
        </w:rPr>
      </w:pPr>
    </w:p>
    <w:p w:rsidR="00311084" w:rsidRDefault="00311084" w:rsidP="00AB2473">
      <w:pPr>
        <w:jc w:val="both"/>
        <w:rPr>
          <w:rFonts w:ascii="Calibri" w:hAnsi="Calibri"/>
          <w:sz w:val="26"/>
          <w:szCs w:val="26"/>
          <w:lang w:val="sr-Cyrl-BA"/>
        </w:rPr>
      </w:pPr>
    </w:p>
    <w:p w:rsidR="00311084" w:rsidRPr="00AB2473" w:rsidRDefault="00311084" w:rsidP="00AB2473">
      <w:pPr>
        <w:jc w:val="both"/>
        <w:rPr>
          <w:rFonts w:ascii="Calibri" w:hAnsi="Calibri"/>
          <w:sz w:val="26"/>
          <w:szCs w:val="26"/>
          <w:lang w:val="sr-Cyrl-BA"/>
        </w:rPr>
      </w:pPr>
    </w:p>
    <w:p w:rsidR="00B43581" w:rsidRDefault="00B43581" w:rsidP="00B43581">
      <w:pPr>
        <w:spacing w:after="120"/>
        <w:jc w:val="both"/>
        <w:rPr>
          <w:rFonts w:ascii="Calibri" w:hAnsi="Calibri"/>
          <w:sz w:val="26"/>
          <w:szCs w:val="26"/>
        </w:rPr>
      </w:pPr>
    </w:p>
    <w:p w:rsidR="008179BF" w:rsidRDefault="008179BF" w:rsidP="00B43581">
      <w:pPr>
        <w:spacing w:after="120"/>
        <w:jc w:val="both"/>
        <w:rPr>
          <w:rFonts w:ascii="Calibri" w:hAnsi="Calibri"/>
          <w:sz w:val="26"/>
          <w:szCs w:val="26"/>
        </w:rPr>
      </w:pPr>
    </w:p>
    <w:p w:rsidR="00C41F50" w:rsidRPr="008179BF" w:rsidRDefault="00C41F50" w:rsidP="00492C5C">
      <w:pPr>
        <w:pStyle w:val="Heading1"/>
      </w:pPr>
      <w:bookmarkStart w:id="3" w:name="_Toc418075603"/>
      <w:bookmarkStart w:id="4" w:name="_Toc449404303"/>
      <w:r w:rsidRPr="008179BF">
        <w:lastRenderedPageBreak/>
        <w:t xml:space="preserve">2.  </w:t>
      </w:r>
      <w:r w:rsidR="00DD65E6">
        <w:t>ПРАВНИ</w:t>
      </w:r>
      <w:r w:rsidRPr="008179BF">
        <w:t xml:space="preserve"> </w:t>
      </w:r>
      <w:r w:rsidR="00DD65E6">
        <w:t>ОКВИР</w:t>
      </w:r>
      <w:r w:rsidRPr="008179BF">
        <w:t xml:space="preserve"> </w:t>
      </w:r>
      <w:r w:rsidR="00DD65E6">
        <w:t>КОНЦЕСИЈА</w:t>
      </w:r>
      <w:r w:rsidRPr="008179BF">
        <w:t xml:space="preserve"> </w:t>
      </w:r>
      <w:r w:rsidR="00DD65E6">
        <w:t>У</w:t>
      </w:r>
      <w:r w:rsidRPr="008179BF">
        <w:t xml:space="preserve"> </w:t>
      </w:r>
      <w:r w:rsidR="00DD65E6">
        <w:t>РЕПУБЛИЦИ</w:t>
      </w:r>
      <w:r w:rsidRPr="008179BF">
        <w:t xml:space="preserve"> </w:t>
      </w:r>
      <w:r w:rsidR="00DD65E6">
        <w:t>СРПСКОЈ</w:t>
      </w:r>
      <w:bookmarkEnd w:id="3"/>
      <w:bookmarkEnd w:id="4"/>
    </w:p>
    <w:p w:rsidR="00C41F50" w:rsidRPr="008179BF" w:rsidRDefault="00C41F50" w:rsidP="005E1ED7">
      <w:pPr>
        <w:pStyle w:val="Heading2"/>
      </w:pPr>
      <w:bookmarkStart w:id="5" w:name="_Toc418075604"/>
      <w:bookmarkStart w:id="6" w:name="_Toc449404304"/>
      <w:r w:rsidRPr="008179BF">
        <w:t xml:space="preserve">2.1. </w:t>
      </w:r>
      <w:r w:rsidR="00DD65E6">
        <w:t>Закон</w:t>
      </w:r>
      <w:r w:rsidRPr="008179BF">
        <w:t xml:space="preserve"> </w:t>
      </w:r>
      <w:r w:rsidR="00DD65E6">
        <w:t>о</w:t>
      </w:r>
      <w:r w:rsidRPr="008179BF">
        <w:t xml:space="preserve"> </w:t>
      </w:r>
      <w:r w:rsidR="00DD65E6">
        <w:t>концесијама</w:t>
      </w:r>
      <w:bookmarkEnd w:id="5"/>
      <w:bookmarkEnd w:id="6"/>
    </w:p>
    <w:p w:rsidR="00C41F50" w:rsidRPr="00145AA2" w:rsidRDefault="00DD65E6" w:rsidP="00C41F50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Законом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("</w:t>
      </w:r>
      <w:r>
        <w:rPr>
          <w:rFonts w:ascii="Calibri" w:hAnsi="Calibri"/>
          <w:sz w:val="22"/>
          <w:szCs w:val="22"/>
          <w:lang w:val="sr-Cyrl-BA"/>
        </w:rPr>
        <w:t>Службени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гласник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", </w:t>
      </w:r>
      <w:r>
        <w:rPr>
          <w:rFonts w:ascii="Calibri" w:hAnsi="Calibri"/>
          <w:sz w:val="22"/>
          <w:szCs w:val="22"/>
          <w:lang w:val="sr-Cyrl-BA"/>
        </w:rPr>
        <w:t>број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: 59/13),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основним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законом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који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односи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област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концесионарства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уређују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предмет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надлежност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поступак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услови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којима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могу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додјељивати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Републици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Српској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елементи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уговора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концесији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престанак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уговора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концесији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права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обавезе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Концесионара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Концедента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надлежност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Комисије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друга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питања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значаја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остваривање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C41F50" w:rsidRPr="00145AA2">
        <w:rPr>
          <w:rFonts w:ascii="Calibri" w:hAnsi="Calibri"/>
          <w:sz w:val="22"/>
          <w:szCs w:val="22"/>
          <w:lang w:val="sr-Cyrl-BA"/>
        </w:rPr>
        <w:t xml:space="preserve">. </w:t>
      </w:r>
    </w:p>
    <w:p w:rsidR="00C41F50" w:rsidRPr="000655EC" w:rsidRDefault="00DD65E6" w:rsidP="00C41F50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Циљ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закона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створи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јаван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недискриминаторан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јасан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правни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оквир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утврђивање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услова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којима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домаћим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страним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привредно</w:t>
      </w:r>
      <w:r w:rsidR="00C41F50" w:rsidRPr="000655EC">
        <w:rPr>
          <w:rFonts w:ascii="Calibri" w:hAnsi="Calibri"/>
          <w:sz w:val="22"/>
          <w:szCs w:val="22"/>
          <w:lang w:val="sr-Cyrl-BA"/>
        </w:rPr>
        <w:t>-</w:t>
      </w:r>
      <w:r>
        <w:rPr>
          <w:rFonts w:ascii="Calibri" w:hAnsi="Calibri"/>
          <w:sz w:val="22"/>
          <w:szCs w:val="22"/>
          <w:lang w:val="sr-Cyrl-BA"/>
        </w:rPr>
        <w:t>правним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субјектима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могу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додјељивати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ради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привлачења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домаћих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страних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инвеститора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стварања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амбијента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снажнији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привредни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развој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те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одговорног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управљања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природним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богатствима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јавним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добрима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Републици</w:t>
      </w:r>
      <w:r w:rsidR="00C41F50" w:rsidRPr="000655E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Српској</w:t>
      </w:r>
      <w:r w:rsidR="00C41F50" w:rsidRPr="000655EC">
        <w:rPr>
          <w:rFonts w:ascii="Calibri" w:hAnsi="Calibri"/>
          <w:sz w:val="22"/>
          <w:szCs w:val="22"/>
          <w:lang w:val="sr-Cyrl-BA"/>
        </w:rPr>
        <w:t>.</w:t>
      </w:r>
    </w:p>
    <w:p w:rsidR="00C41F50" w:rsidRPr="00B36C7E" w:rsidRDefault="00DD65E6" w:rsidP="00C41F50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Важећи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објављен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15.07.2013. </w:t>
      </w:r>
      <w:r>
        <w:rPr>
          <w:rFonts w:ascii="Calibri" w:hAnsi="Calibri"/>
          <w:sz w:val="22"/>
          <w:szCs w:val="22"/>
          <w:lang w:val="sr-Cyrl-BA"/>
        </w:rPr>
        <w:t>године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„</w:t>
      </w:r>
      <w:r>
        <w:rPr>
          <w:rFonts w:ascii="Calibri" w:hAnsi="Calibri"/>
          <w:sz w:val="22"/>
          <w:szCs w:val="22"/>
          <w:lang w:val="sr-Cyrl-BA"/>
        </w:rPr>
        <w:t>Службеном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гласнику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“, </w:t>
      </w:r>
      <w:r>
        <w:rPr>
          <w:rFonts w:ascii="Calibri" w:hAnsi="Calibri"/>
          <w:sz w:val="22"/>
          <w:szCs w:val="22"/>
          <w:lang w:val="sr-Cyrl-BA"/>
        </w:rPr>
        <w:t>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ступио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снагу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23.07.2013. </w:t>
      </w:r>
      <w:r>
        <w:rPr>
          <w:rFonts w:ascii="Calibri" w:hAnsi="Calibri"/>
          <w:sz w:val="22"/>
          <w:szCs w:val="22"/>
          <w:lang w:val="sr-Cyrl-BA"/>
        </w:rPr>
        <w:t>године</w:t>
      </w:r>
      <w:r w:rsidR="00C41F50" w:rsidRPr="00B36C7E">
        <w:rPr>
          <w:rFonts w:ascii="Calibri" w:hAnsi="Calibri"/>
          <w:sz w:val="22"/>
          <w:szCs w:val="22"/>
          <w:lang w:val="sr-Cyrl-BA"/>
        </w:rPr>
        <w:t>.</w:t>
      </w:r>
    </w:p>
    <w:p w:rsidR="00C41F50" w:rsidRPr="00B36C7E" w:rsidRDefault="00DD65E6" w:rsidP="00C41F50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Овим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Законом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регулисан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између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осталог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поступак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>.</w:t>
      </w:r>
    </w:p>
    <w:p w:rsidR="00C41F50" w:rsidRPr="00B36C7E" w:rsidRDefault="00DD65E6" w:rsidP="00C41F50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Законом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дато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овлаштење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односно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право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иницијативе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поступак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може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покренути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надлежни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заинтересовано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лице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. </w:t>
      </w:r>
      <w:r>
        <w:rPr>
          <w:rFonts w:ascii="Calibri" w:hAnsi="Calibri"/>
          <w:sz w:val="22"/>
          <w:szCs w:val="22"/>
          <w:lang w:val="sr-Cyrl-BA"/>
        </w:rPr>
        <w:t>Нови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изузетак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без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спровођења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јавног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позива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регулисао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преговарачки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модел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поступку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сљедећим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случајевима</w:t>
      </w:r>
      <w:r w:rsidR="00C41F50" w:rsidRPr="00B36C7E">
        <w:rPr>
          <w:rFonts w:ascii="Calibri" w:hAnsi="Calibri"/>
          <w:sz w:val="22"/>
          <w:szCs w:val="22"/>
          <w:lang w:val="sr-Cyrl-BA"/>
        </w:rPr>
        <w:t>:</w:t>
      </w:r>
    </w:p>
    <w:p w:rsidR="00C41F50" w:rsidRPr="00B36C7E" w:rsidRDefault="00DD65E6" w:rsidP="00B21446">
      <w:pPr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val="sr-Latn-BA"/>
        </w:rPr>
      </w:pP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Понуде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јавног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предузећа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које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обавља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дјелатности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од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општег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интереса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чија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дјелатност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чини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предмет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концесије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у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смислу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Закона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о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концесијама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>;</w:t>
      </w:r>
    </w:p>
    <w:p w:rsidR="00C41F50" w:rsidRPr="00B36C7E" w:rsidRDefault="00DD65E6" w:rsidP="00B21446">
      <w:pPr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val="sr-Latn-BA"/>
        </w:rPr>
      </w:pP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Спровођења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закључених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споразума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Владе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или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јавних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предузећа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који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се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односе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на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реализацију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предмета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концесије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и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</w:p>
    <w:p w:rsidR="00C41F50" w:rsidRPr="00B36C7E" w:rsidRDefault="00DD65E6" w:rsidP="00B21446">
      <w:pPr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val="sr-Latn-BA"/>
        </w:rPr>
      </w:pP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Продужења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рока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на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који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је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концесија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Latn-BA"/>
        </w:rPr>
        <w:t>додијељена</w:t>
      </w:r>
      <w:r w:rsidR="00C41F50" w:rsidRPr="00B36C7E">
        <w:rPr>
          <w:rFonts w:asciiTheme="minorHAnsi" w:eastAsiaTheme="minorHAnsi" w:hAnsiTheme="minorHAnsi" w:cstheme="minorBidi"/>
          <w:sz w:val="22"/>
          <w:szCs w:val="22"/>
          <w:lang w:val="sr-Latn-BA"/>
        </w:rPr>
        <w:t>.</w:t>
      </w:r>
    </w:p>
    <w:p w:rsidR="00C41F50" w:rsidRPr="00B36C7E" w:rsidRDefault="00C41F50" w:rsidP="00C41F50">
      <w:pPr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val="sr-Latn-BA"/>
        </w:rPr>
      </w:pPr>
    </w:p>
    <w:p w:rsidR="00C41F50" w:rsidRPr="00B36C7E" w:rsidRDefault="00DD65E6" w:rsidP="00C41F50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Комисија</w:t>
      </w:r>
      <w:r w:rsidR="00F82AD3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F82AD3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F82AD3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F82AD3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регулативно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тијело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функцију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прати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стање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области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извршење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законских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других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прописа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те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предлаже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мјере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стандарде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унапређење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како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концесионих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односа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тако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законодавства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којима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регулишу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односи</w:t>
      </w:r>
      <w:r w:rsidR="00C41F50" w:rsidRPr="00B36C7E">
        <w:rPr>
          <w:rFonts w:ascii="Calibri" w:hAnsi="Calibri"/>
          <w:sz w:val="22"/>
          <w:szCs w:val="22"/>
          <w:lang w:val="sr-Cyrl-BA"/>
        </w:rPr>
        <w:t>.</w:t>
      </w:r>
    </w:p>
    <w:p w:rsidR="00C41F50" w:rsidRPr="00B36C7E" w:rsidRDefault="00DD65E6" w:rsidP="00C41F50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досадашњој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примјени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Комисија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уочила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одређене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недостатке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који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односе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неконзистентност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самог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односно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његове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примјене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пракси</w:t>
      </w:r>
      <w:r w:rsidR="00C41F50" w:rsidRPr="00B36C7E">
        <w:rPr>
          <w:rFonts w:ascii="Calibri" w:hAnsi="Calibri"/>
          <w:sz w:val="22"/>
          <w:szCs w:val="22"/>
          <w:lang w:val="sr-Cyrl-BA"/>
        </w:rPr>
        <w:t>.</w:t>
      </w:r>
    </w:p>
    <w:p w:rsidR="00C41F50" w:rsidRPr="00B36C7E" w:rsidRDefault="00DD65E6" w:rsidP="00C41F50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Основна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примједба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важећи</w:t>
      </w:r>
      <w:r w:rsidR="001006FB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</w:t>
      </w:r>
      <w:r w:rsidR="001006FB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односи</w:t>
      </w:r>
      <w:r w:rsidR="001006FB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1006FB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1006FB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институт</w:t>
      </w:r>
      <w:r w:rsidR="001006FB" w:rsidRPr="00B36C7E">
        <w:rPr>
          <w:rFonts w:ascii="Calibri" w:hAnsi="Calibri"/>
          <w:sz w:val="22"/>
          <w:szCs w:val="22"/>
          <w:lang w:val="sr-Cyrl-BA"/>
        </w:rPr>
        <w:t xml:space="preserve"> „</w:t>
      </w:r>
      <w:r>
        <w:rPr>
          <w:rFonts w:ascii="Calibri" w:hAnsi="Calibri"/>
          <w:sz w:val="22"/>
          <w:szCs w:val="22"/>
          <w:lang w:val="sr-Cyrl-BA"/>
        </w:rPr>
        <w:t>јавног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интереса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“. </w:t>
      </w:r>
      <w:r>
        <w:rPr>
          <w:rFonts w:ascii="Calibri" w:hAnsi="Calibri"/>
          <w:sz w:val="22"/>
          <w:szCs w:val="22"/>
          <w:lang w:val="sr-Cyrl-BA"/>
        </w:rPr>
        <w:t>Комисија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сматра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што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смо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указивали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претходном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Извјештају</w:t>
      </w:r>
      <w:r w:rsidR="00C41F50" w:rsidRPr="00B36C7E">
        <w:rPr>
          <w:rFonts w:ascii="Calibri" w:hAnsi="Calibri"/>
          <w:sz w:val="22"/>
          <w:szCs w:val="22"/>
          <w:lang w:val="sr-Cyrl-BA"/>
        </w:rPr>
        <w:t>,</w:t>
      </w:r>
      <w:r w:rsidR="00F82AD3" w:rsidRPr="00B36C7E">
        <w:rPr>
          <w:rFonts w:ascii="Calibri" w:hAnsi="Calibri"/>
          <w:sz w:val="22"/>
          <w:szCs w:val="22"/>
          <w:lang w:val="sr-Cyrl-BA"/>
        </w:rPr>
        <w:t xml:space="preserve"> 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јавни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интерес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правни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институт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треба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кључну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улогу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систему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имајући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виду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предмете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права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 w:rsidR="00F82AD3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циљеве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успоставе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концесионих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односа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Републици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Српској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. </w:t>
      </w:r>
    </w:p>
    <w:p w:rsidR="00C41F50" w:rsidRPr="00B36C7E" w:rsidRDefault="00DD65E6" w:rsidP="00C41F50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садашњем</w:t>
      </w:r>
      <w:r w:rsidR="00C41F50" w:rsidRPr="00B36C7E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C11C71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предвиђено</w:t>
      </w:r>
      <w:r w:rsidR="00C11C71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C11C71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11C71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11C71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</w:rPr>
        <w:t>Ј</w:t>
      </w:r>
      <w:r>
        <w:rPr>
          <w:rFonts w:ascii="Calibri" w:hAnsi="Calibri"/>
          <w:sz w:val="22"/>
          <w:szCs w:val="22"/>
          <w:lang w:val="sr-Cyrl-BA"/>
        </w:rPr>
        <w:t>авни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интерес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процјењује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само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приликом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доношења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одлуке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покретању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поступка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основу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иницијативе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заинтересованог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лица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. </w:t>
      </w:r>
      <w:r>
        <w:rPr>
          <w:rFonts w:ascii="Calibri" w:hAnsi="Calibri"/>
          <w:sz w:val="22"/>
          <w:szCs w:val="22"/>
          <w:lang w:val="sr-Cyrl-BA"/>
        </w:rPr>
        <w:t>Јавни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интерес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треба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представља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базну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чињеницу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успостављање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концесионих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односа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без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обзира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модалитету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ријеч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. </w:t>
      </w:r>
      <w:r>
        <w:rPr>
          <w:rFonts w:ascii="Calibri" w:hAnsi="Calibri"/>
          <w:sz w:val="22"/>
          <w:szCs w:val="22"/>
          <w:lang w:val="sr-Cyrl-BA"/>
        </w:rPr>
        <w:t>Због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тога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сматрамо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неопходно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законски</w:t>
      </w:r>
      <w:r w:rsidR="00F82AD3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регулисати</w:t>
      </w:r>
      <w:r w:rsidR="00F82AD3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обавезу</w:t>
      </w:r>
      <w:r w:rsidR="00F82AD3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утврђивања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постојања</w:t>
      </w:r>
      <w:r w:rsidR="00F82AD3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</w:rPr>
        <w:t>Ј</w:t>
      </w:r>
      <w:r>
        <w:rPr>
          <w:rFonts w:ascii="Calibri" w:hAnsi="Calibri"/>
          <w:sz w:val="22"/>
          <w:szCs w:val="22"/>
          <w:lang w:val="sr-Cyrl-BA"/>
        </w:rPr>
        <w:t>авног</w:t>
      </w:r>
      <w:r w:rsidR="00677561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интереса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поступку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све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поступке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акт</w:t>
      </w:r>
      <w:r w:rsidR="00C11C71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надлежног</w:t>
      </w:r>
      <w:r w:rsidR="00C11C71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органа</w:t>
      </w:r>
      <w:r w:rsidR="00C11C71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11C71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утврђивању</w:t>
      </w:r>
      <w:r w:rsidR="00C11C71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</w:rPr>
        <w:t>Ј</w:t>
      </w:r>
      <w:r>
        <w:rPr>
          <w:rFonts w:ascii="Calibri" w:hAnsi="Calibri"/>
          <w:sz w:val="22"/>
          <w:szCs w:val="22"/>
          <w:lang w:val="sr-Cyrl-BA"/>
        </w:rPr>
        <w:t>авног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интереса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свим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модалитетима</w:t>
      </w:r>
      <w:r w:rsidR="00677561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додјеле</w:t>
      </w:r>
      <w:r w:rsidR="00677561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677561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мора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конститутивни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карактер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актом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надлежног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утврђује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сваки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појединачни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случај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без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обзира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ли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поступак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покреће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стране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надлежног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по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иницијативи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заинтересованог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лица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или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преговарачком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поступку</w:t>
      </w:r>
      <w:r w:rsidR="00C41F50" w:rsidRPr="00B36C7E">
        <w:rPr>
          <w:rFonts w:ascii="Calibri" w:hAnsi="Calibri"/>
          <w:sz w:val="22"/>
          <w:szCs w:val="22"/>
          <w:lang w:val="sr-Cyrl-BA"/>
        </w:rPr>
        <w:t>.</w:t>
      </w:r>
    </w:p>
    <w:p w:rsidR="00C41F50" w:rsidRPr="00B36C7E" w:rsidRDefault="00DD65E6" w:rsidP="00C41F50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lastRenderedPageBreak/>
        <w:t>Надаље</w:t>
      </w:r>
      <w:r w:rsidR="00492C5C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Комисија</w:t>
      </w:r>
      <w:r w:rsidR="00492C5C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сматра</w:t>
      </w:r>
      <w:r w:rsidR="00492C5C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492C5C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492C5C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члан</w:t>
      </w:r>
      <w:r w:rsidR="00492C5C" w:rsidRPr="00B36C7E">
        <w:rPr>
          <w:rFonts w:ascii="Calibri" w:hAnsi="Calibri"/>
          <w:sz w:val="22"/>
          <w:szCs w:val="22"/>
          <w:lang w:val="sr-Cyrl-BA"/>
        </w:rPr>
        <w:t xml:space="preserve"> 40</w:t>
      </w:r>
      <w:r w:rsidR="00351312" w:rsidRPr="00B36C7E">
        <w:rPr>
          <w:rFonts w:ascii="Calibri" w:hAnsi="Calibri"/>
          <w:sz w:val="22"/>
          <w:szCs w:val="22"/>
          <w:lang w:val="sr-Cyrl-BA"/>
        </w:rPr>
        <w:t>.</w:t>
      </w:r>
      <w:r w:rsidR="000E2718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којим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дефинише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уступање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трећем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лицу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или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финансијској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организацији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дијелу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односи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уступање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финансијским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организацијама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колизији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законима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регулишу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ову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област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(</w:t>
      </w:r>
      <w:r>
        <w:rPr>
          <w:rFonts w:ascii="Calibri" w:hAnsi="Calibri"/>
          <w:sz w:val="22"/>
          <w:szCs w:val="22"/>
          <w:lang w:val="sr-Cyrl-BA"/>
        </w:rPr>
        <w:t>Закон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банкама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Закон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микрокредитним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организацијама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Закон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штедно</w:t>
      </w:r>
      <w:r w:rsidR="00C41F50" w:rsidRPr="00B36C7E">
        <w:rPr>
          <w:rFonts w:ascii="Calibri" w:hAnsi="Calibri"/>
          <w:sz w:val="22"/>
          <w:szCs w:val="22"/>
          <w:lang w:val="sr-Cyrl-BA"/>
        </w:rPr>
        <w:t>-</w:t>
      </w:r>
      <w:r>
        <w:rPr>
          <w:rFonts w:ascii="Calibri" w:hAnsi="Calibri"/>
          <w:sz w:val="22"/>
          <w:szCs w:val="22"/>
          <w:lang w:val="sr-Cyrl-BA"/>
        </w:rPr>
        <w:t>кредитним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организацијама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сл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.). </w:t>
      </w:r>
      <w:r>
        <w:rPr>
          <w:rFonts w:ascii="Calibri" w:hAnsi="Calibri"/>
          <w:sz w:val="22"/>
          <w:szCs w:val="22"/>
          <w:lang w:val="sr-Cyrl-BA"/>
        </w:rPr>
        <w:t>Наведеним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законима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регулишу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дјелатности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финансијских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организација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искључиво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финансијске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природе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. </w:t>
      </w:r>
    </w:p>
    <w:p w:rsidR="00C41F50" w:rsidRPr="00B36C7E" w:rsidRDefault="00DD65E6" w:rsidP="00C41F50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Законом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регулише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право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право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обављања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привредних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дјелатности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кориштењем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јавних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добара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природних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богатстава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других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добара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општег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интереса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право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обављања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дјелатности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општег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интереса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. </w:t>
      </w:r>
    </w:p>
    <w:p w:rsidR="00C41F50" w:rsidRPr="00B36C7E" w:rsidRDefault="00DD65E6" w:rsidP="00C41F50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Због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тога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што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финансијске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организације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могу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обављати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дјелатности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предмет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 </w:t>
      </w:r>
      <w:r>
        <w:rPr>
          <w:rFonts w:ascii="Calibri" w:hAnsi="Calibri"/>
          <w:sz w:val="22"/>
          <w:szCs w:val="22"/>
          <w:lang w:val="sr-Cyrl-BA"/>
        </w:rPr>
        <w:t>не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могу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бити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титулари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 </w:t>
      </w:r>
      <w:r>
        <w:rPr>
          <w:rFonts w:ascii="Calibri" w:hAnsi="Calibri"/>
          <w:sz w:val="22"/>
          <w:szCs w:val="22"/>
          <w:lang w:val="sr-Cyrl-BA"/>
        </w:rPr>
        <w:t>уговора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концесији</w:t>
      </w:r>
      <w:r w:rsidR="00C41F50" w:rsidRPr="00B36C7E">
        <w:rPr>
          <w:rFonts w:ascii="Calibri" w:hAnsi="Calibri"/>
          <w:sz w:val="22"/>
          <w:szCs w:val="22"/>
          <w:lang w:val="sr-Cyrl-BA"/>
        </w:rPr>
        <w:t>.</w:t>
      </w:r>
    </w:p>
    <w:p w:rsidR="00C41F50" w:rsidRPr="00B36C7E" w:rsidRDefault="00DD65E6" w:rsidP="00C41F50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Правилник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поступку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уступања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промјени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власничке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структуре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Концесионара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(„</w:t>
      </w:r>
      <w:r>
        <w:rPr>
          <w:rFonts w:ascii="Calibri" w:hAnsi="Calibri"/>
          <w:sz w:val="22"/>
          <w:szCs w:val="22"/>
          <w:lang w:val="sr-Cyrl-BA"/>
        </w:rPr>
        <w:t>Службени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гласник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280F1D" w:rsidRPr="00B36C7E">
        <w:rPr>
          <w:rFonts w:ascii="Calibri" w:hAnsi="Calibri"/>
          <w:sz w:val="22"/>
          <w:szCs w:val="22"/>
          <w:lang w:val="sr-Cyrl-BA"/>
        </w:rPr>
        <w:t>“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број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: 65/14), </w:t>
      </w:r>
      <w:r>
        <w:rPr>
          <w:rFonts w:ascii="Calibri" w:hAnsi="Calibri"/>
          <w:sz w:val="22"/>
          <w:szCs w:val="22"/>
          <w:lang w:val="sr-Cyrl-BA"/>
        </w:rPr>
        <w:t>који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донијела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регулише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питање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заштите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правног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интереса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финансијских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организација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Кредитора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концесионим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односима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начин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имају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право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подношења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захтјева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давање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сагласности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уступање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своје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име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рачун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Стицаоца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када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Концесионар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извршава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своје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обавезе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финансијској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организацији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основу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кредитирању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пројекта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. </w:t>
      </w:r>
      <w:r>
        <w:rPr>
          <w:rFonts w:ascii="Calibri" w:hAnsi="Calibri"/>
          <w:sz w:val="22"/>
          <w:szCs w:val="22"/>
          <w:lang w:val="sr-Cyrl-BA"/>
        </w:rPr>
        <w:t>Оваквом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правном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регулацијом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право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активне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легитимације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финансијским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организацијама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покрену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поступак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уступање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новом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Концесионару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али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стичу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право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основу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уступања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уговора</w:t>
      </w:r>
      <w:r w:rsidR="00C41F50" w:rsidRPr="00B36C7E">
        <w:rPr>
          <w:rFonts w:ascii="Calibri" w:hAnsi="Calibri"/>
          <w:sz w:val="22"/>
          <w:szCs w:val="22"/>
          <w:lang w:val="sr-Cyrl-BA"/>
        </w:rPr>
        <w:t>.</w:t>
      </w:r>
    </w:p>
    <w:p w:rsidR="00C41F50" w:rsidRPr="00B36C7E" w:rsidRDefault="00DD65E6" w:rsidP="00C41F50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Комисија</w:t>
      </w:r>
      <w:r w:rsidR="00306E2E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сматра</w:t>
      </w:r>
      <w:r w:rsidR="00306E2E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306E2E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члан</w:t>
      </w:r>
      <w:r w:rsidR="00306E2E" w:rsidRPr="00B36C7E">
        <w:rPr>
          <w:rFonts w:ascii="Calibri" w:hAnsi="Calibri"/>
          <w:sz w:val="22"/>
          <w:szCs w:val="22"/>
          <w:lang w:val="sr-Cyrl-BA"/>
        </w:rPr>
        <w:t xml:space="preserve"> 40</w:t>
      </w:r>
      <w:r w:rsidR="001A2FC2" w:rsidRPr="00B36C7E">
        <w:rPr>
          <w:rFonts w:ascii="Calibri" w:hAnsi="Calibri"/>
          <w:sz w:val="22"/>
          <w:szCs w:val="22"/>
          <w:lang w:val="sr-Cyrl-BA"/>
        </w:rPr>
        <w:t>.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треба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редефинисати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међусобно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ускладити</w:t>
      </w:r>
      <w:r w:rsidR="00632B98" w:rsidRPr="00B36C7E">
        <w:rPr>
          <w:rFonts w:ascii="Calibri" w:hAnsi="Calibri"/>
          <w:sz w:val="22"/>
          <w:szCs w:val="22"/>
        </w:rPr>
        <w:t>,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како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били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усаглашени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законски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подзаконски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акти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једне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стране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стране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обезбиједи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законом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заштита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правног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интереса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финансијских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организација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. </w:t>
      </w:r>
    </w:p>
    <w:p w:rsidR="00F84111" w:rsidRPr="00B36C7E" w:rsidRDefault="00DD65E6" w:rsidP="00C41F50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Комисија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такође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скреће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пажњу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провођење</w:t>
      </w:r>
      <w:r w:rsidR="00306E2E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члана</w:t>
      </w:r>
      <w:r w:rsidR="00306E2E" w:rsidRPr="00B36C7E">
        <w:rPr>
          <w:rFonts w:ascii="Calibri" w:hAnsi="Calibri"/>
          <w:sz w:val="22"/>
          <w:szCs w:val="22"/>
          <w:lang w:val="sr-Cyrl-BA"/>
        </w:rPr>
        <w:t xml:space="preserve"> 67</w:t>
      </w:r>
      <w:r w:rsidR="00156416" w:rsidRPr="00B36C7E">
        <w:rPr>
          <w:rFonts w:ascii="Calibri" w:hAnsi="Calibri"/>
          <w:sz w:val="22"/>
          <w:szCs w:val="22"/>
          <w:lang w:val="sr-Cyrl-BA"/>
        </w:rPr>
        <w:t>.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којим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привредним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друштвима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обављају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дјелатност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користећи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јавна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добра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природна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богатства</w:t>
      </w:r>
      <w:r w:rsidR="00280F1D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280F1D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друга</w:t>
      </w:r>
      <w:r w:rsidR="00280F1D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добра</w:t>
      </w:r>
      <w:r w:rsidR="00280F1D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</w:t>
      </w:r>
      <w:r w:rsidR="00280F1D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општег</w:t>
      </w:r>
      <w:r w:rsidR="00280F1D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интереса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немају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закључен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уговор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обавезују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поднесу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понуду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року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6 </w:t>
      </w:r>
      <w:r>
        <w:rPr>
          <w:rFonts w:ascii="Calibri" w:hAnsi="Calibri"/>
          <w:sz w:val="22"/>
          <w:szCs w:val="22"/>
          <w:lang w:val="sr-Cyrl-BA"/>
        </w:rPr>
        <w:t>мјесеци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ступања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снагу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. </w:t>
      </w:r>
      <w:r>
        <w:rPr>
          <w:rFonts w:ascii="Calibri" w:hAnsi="Calibri"/>
          <w:sz w:val="22"/>
          <w:szCs w:val="22"/>
          <w:lang w:val="sr-Cyrl-BA"/>
        </w:rPr>
        <w:t>Полазећи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чињенице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обављање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привредне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дјелатности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кориштењем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јавног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природног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или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добра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општег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интереса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искључиво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предмет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права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потребно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ангажовање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надлежних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институција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свих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Владе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сви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привредни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субјекти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који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обављају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наведену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дјелатност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ставе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режим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. </w:t>
      </w:r>
      <w:r>
        <w:rPr>
          <w:rFonts w:ascii="Calibri" w:hAnsi="Calibri"/>
          <w:sz w:val="22"/>
          <w:szCs w:val="22"/>
          <w:lang w:val="sr-Cyrl-BA"/>
        </w:rPr>
        <w:t>Такође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важно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нагласити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надлежност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инспекцијских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предузму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мјере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инспекцијског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надзора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наведеним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привредним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субјектима</w:t>
      </w:r>
      <w:r w:rsidR="00C41F50" w:rsidRPr="00B36C7E">
        <w:rPr>
          <w:rFonts w:ascii="Calibri" w:hAnsi="Calibri"/>
          <w:sz w:val="22"/>
          <w:szCs w:val="22"/>
          <w:lang w:val="sr-Cyrl-BA"/>
        </w:rPr>
        <w:t xml:space="preserve">. </w:t>
      </w:r>
    </w:p>
    <w:p w:rsidR="00F84111" w:rsidRPr="00B36C7E" w:rsidRDefault="004464AB" w:rsidP="005E1ED7">
      <w:pPr>
        <w:pStyle w:val="Heading2"/>
        <w:rPr>
          <w:szCs w:val="26"/>
          <w:lang w:val="ru-RU"/>
        </w:rPr>
      </w:pPr>
      <w:bookmarkStart w:id="7" w:name="_Toc449404305"/>
      <w:r w:rsidRPr="00B36C7E">
        <w:t xml:space="preserve">2.1.2. </w:t>
      </w:r>
      <w:r w:rsidR="00DD65E6">
        <w:t>Примјена</w:t>
      </w:r>
      <w:r w:rsidRPr="00B36C7E">
        <w:t xml:space="preserve"> </w:t>
      </w:r>
      <w:r w:rsidR="00DD65E6">
        <w:t>других</w:t>
      </w:r>
      <w:r w:rsidRPr="00B36C7E">
        <w:t xml:space="preserve"> </w:t>
      </w:r>
      <w:r w:rsidR="00DD65E6">
        <w:t>Закона</w:t>
      </w:r>
      <w:r w:rsidRPr="00B36C7E">
        <w:t xml:space="preserve"> </w:t>
      </w:r>
      <w:r w:rsidR="00DD65E6">
        <w:t>у</w:t>
      </w:r>
      <w:r w:rsidRPr="00B36C7E">
        <w:t xml:space="preserve"> </w:t>
      </w:r>
      <w:r w:rsidR="00DD65E6">
        <w:t>поступку</w:t>
      </w:r>
      <w:r w:rsidRPr="00B36C7E">
        <w:t xml:space="preserve"> </w:t>
      </w:r>
      <w:r w:rsidR="00DD65E6">
        <w:t>додјеле</w:t>
      </w:r>
      <w:r w:rsidRPr="00B36C7E">
        <w:t xml:space="preserve"> </w:t>
      </w:r>
      <w:r w:rsidR="00DD65E6">
        <w:t>концесија</w:t>
      </w:r>
      <w:bookmarkEnd w:id="7"/>
    </w:p>
    <w:p w:rsidR="004B07F7" w:rsidRPr="00B36C7E" w:rsidRDefault="004B07F7" w:rsidP="005E1ED7">
      <w:pPr>
        <w:pStyle w:val="Heading3"/>
      </w:pPr>
      <w:bookmarkStart w:id="8" w:name="_Toc449404306"/>
      <w:r w:rsidRPr="00B36C7E">
        <w:t>2.1.2.</w:t>
      </w:r>
      <w:r w:rsidR="004464AB" w:rsidRPr="00B36C7E">
        <w:t>1.</w:t>
      </w:r>
      <w:r w:rsidRPr="00B36C7E">
        <w:t xml:space="preserve"> </w:t>
      </w:r>
      <w:r w:rsidR="00DD65E6">
        <w:t>Закон</w:t>
      </w:r>
      <w:r w:rsidRPr="00B36C7E">
        <w:t xml:space="preserve"> </w:t>
      </w:r>
      <w:r w:rsidR="00DD65E6">
        <w:t>о</w:t>
      </w:r>
      <w:r w:rsidRPr="00B36C7E">
        <w:t xml:space="preserve"> </w:t>
      </w:r>
      <w:r w:rsidR="00DD65E6">
        <w:t>страним</w:t>
      </w:r>
      <w:r w:rsidRPr="00B36C7E">
        <w:t xml:space="preserve"> </w:t>
      </w:r>
      <w:r w:rsidR="00DD65E6">
        <w:t>улагањима</w:t>
      </w:r>
      <w:r w:rsidRPr="00B36C7E">
        <w:t xml:space="preserve"> </w:t>
      </w:r>
      <w:r w:rsidR="00DD65E6">
        <w:t>Републике</w:t>
      </w:r>
      <w:r w:rsidRPr="00B36C7E">
        <w:t xml:space="preserve"> </w:t>
      </w:r>
      <w:r w:rsidR="00DD65E6">
        <w:t>Српске</w:t>
      </w:r>
      <w:bookmarkEnd w:id="8"/>
    </w:p>
    <w:p w:rsidR="00F84111" w:rsidRDefault="00DD65E6" w:rsidP="004B07F7">
      <w:p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Примјена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Закона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страним</w:t>
      </w:r>
      <w:r w:rsidR="005E1ED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улагањима</w:t>
      </w:r>
      <w:r w:rsidR="005E1ED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5E1ED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5E1ED7" w:rsidRPr="00B36C7E">
        <w:rPr>
          <w:rFonts w:asciiTheme="minorHAnsi" w:hAnsiTheme="minorHAnsi"/>
          <w:sz w:val="22"/>
          <w:szCs w:val="22"/>
          <w:lang w:val="sr-Cyrl-BA"/>
        </w:rPr>
        <w:t xml:space="preserve"> (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>„</w:t>
      </w:r>
      <w:r>
        <w:rPr>
          <w:rFonts w:asciiTheme="minorHAnsi" w:hAnsiTheme="minorHAnsi"/>
          <w:sz w:val="22"/>
          <w:szCs w:val="22"/>
          <w:lang w:val="sr-Cyrl-BA"/>
        </w:rPr>
        <w:t>Сл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гласник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“ </w:t>
      </w:r>
      <w:r>
        <w:rPr>
          <w:rFonts w:asciiTheme="minorHAnsi" w:hAnsiTheme="minorHAnsi"/>
          <w:sz w:val="22"/>
          <w:szCs w:val="22"/>
          <w:lang w:val="sr-Cyrl-BA"/>
        </w:rPr>
        <w:t>бр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. </w:t>
      </w:r>
      <w:r w:rsidR="004B07F7" w:rsidRPr="00B36C7E">
        <w:rPr>
          <w:rFonts w:asciiTheme="minorHAnsi" w:hAnsiTheme="minorHAnsi"/>
          <w:sz w:val="22"/>
          <w:szCs w:val="22"/>
        </w:rPr>
        <w:t>25/02</w:t>
      </w:r>
      <w:r w:rsidR="00156416" w:rsidRPr="00B36C7E">
        <w:rPr>
          <w:rFonts w:asciiTheme="minorHAnsi" w:hAnsiTheme="minorHAnsi"/>
          <w:sz w:val="22"/>
          <w:szCs w:val="22"/>
          <w:lang w:val="sr-Cyrl-BA"/>
        </w:rPr>
        <w:t>)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Измјенама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допунама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Закона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страним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улагањима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Cyrl-BA"/>
        </w:rPr>
        <w:t>објављених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„</w:t>
      </w:r>
      <w:r>
        <w:rPr>
          <w:rFonts w:asciiTheme="minorHAnsi" w:hAnsiTheme="minorHAnsi"/>
          <w:sz w:val="22"/>
          <w:szCs w:val="22"/>
          <w:lang w:val="sr-Cyrl-BA"/>
        </w:rPr>
        <w:t>Сл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гласницима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Репбулике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306E2E" w:rsidRPr="00B36C7E">
        <w:rPr>
          <w:rFonts w:asciiTheme="minorHAnsi" w:hAnsiTheme="minorHAnsi"/>
          <w:sz w:val="22"/>
          <w:szCs w:val="22"/>
          <w:lang w:val="sr-Cyrl-BA"/>
        </w:rPr>
        <w:t>“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бр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. </w:t>
      </w:r>
      <w:r w:rsidR="004B07F7" w:rsidRPr="00B36C7E">
        <w:rPr>
          <w:rFonts w:asciiTheme="minorHAnsi" w:hAnsiTheme="minorHAnsi"/>
          <w:sz w:val="22"/>
          <w:szCs w:val="22"/>
        </w:rPr>
        <w:t xml:space="preserve">24/04 </w:t>
      </w:r>
      <w:r>
        <w:rPr>
          <w:rFonts w:asciiTheme="minorHAnsi" w:hAnsiTheme="minorHAnsi"/>
          <w:sz w:val="22"/>
          <w:szCs w:val="22"/>
        </w:rPr>
        <w:t>и</w:t>
      </w:r>
      <w:r w:rsidR="004B07F7" w:rsidRPr="00B36C7E">
        <w:rPr>
          <w:rFonts w:asciiTheme="minorHAnsi" w:hAnsiTheme="minorHAnsi"/>
          <w:sz w:val="22"/>
          <w:szCs w:val="22"/>
        </w:rPr>
        <w:t xml:space="preserve"> 52/1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1),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стране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односи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одредбе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4B07F7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правима</w:t>
      </w:r>
      <w:r w:rsidR="004B07F7" w:rsidRPr="00145AA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B07F7" w:rsidRPr="00145AA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обавезама</w:t>
      </w:r>
      <w:r w:rsidR="004B07F7" w:rsidRPr="00145AA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страних</w:t>
      </w:r>
      <w:r w:rsidR="004B07F7" w:rsidRPr="00145AA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улагача</w:t>
      </w:r>
      <w:r w:rsidR="004B07F7" w:rsidRPr="00145AA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када</w:t>
      </w:r>
      <w:r w:rsidR="004B07F7" w:rsidRPr="00145AA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4B07F7" w:rsidRPr="00145AA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4B07F7" w:rsidRPr="00145AA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питању</w:t>
      </w:r>
      <w:r w:rsidR="004B07F7" w:rsidRPr="00145AA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4B07F7" w:rsidRPr="00145AA2">
        <w:rPr>
          <w:rFonts w:asciiTheme="minorHAnsi" w:hAnsiTheme="minorHAnsi"/>
          <w:sz w:val="22"/>
          <w:szCs w:val="22"/>
          <w:lang w:val="sr-Cyrl-BA"/>
        </w:rPr>
        <w:t>.</w:t>
      </w:r>
    </w:p>
    <w:p w:rsidR="0065490B" w:rsidRPr="0065490B" w:rsidRDefault="0065490B" w:rsidP="0065490B">
      <w:pPr>
        <w:spacing w:after="120"/>
        <w:jc w:val="both"/>
        <w:rPr>
          <w:rFonts w:asciiTheme="majorHAnsi" w:hAnsiTheme="majorHAnsi"/>
          <w:sz w:val="26"/>
          <w:szCs w:val="26"/>
          <w:lang w:val="sr-Cyrl-BA"/>
        </w:rPr>
      </w:pPr>
      <w:r w:rsidRPr="0065490B">
        <w:rPr>
          <w:rFonts w:asciiTheme="majorHAnsi" w:hAnsiTheme="majorHAnsi"/>
          <w:sz w:val="26"/>
          <w:szCs w:val="26"/>
          <w:lang w:val="sr-Cyrl-BA"/>
        </w:rPr>
        <w:t xml:space="preserve">2.1.2.2. </w:t>
      </w:r>
      <w:r w:rsidR="00DD65E6">
        <w:rPr>
          <w:rFonts w:asciiTheme="majorHAnsi" w:hAnsiTheme="majorHAnsi"/>
          <w:sz w:val="26"/>
          <w:szCs w:val="26"/>
          <w:lang w:val="sr-Cyrl-BA"/>
        </w:rPr>
        <w:t>Закон</w:t>
      </w:r>
      <w:r w:rsidRPr="0065490B">
        <w:rPr>
          <w:rFonts w:asciiTheme="majorHAnsi" w:hAnsiTheme="majorHAns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/>
          <w:sz w:val="26"/>
          <w:szCs w:val="26"/>
          <w:lang w:val="sr-Cyrl-BA"/>
        </w:rPr>
        <w:t>о</w:t>
      </w:r>
      <w:r w:rsidRPr="0065490B">
        <w:rPr>
          <w:rFonts w:asciiTheme="majorHAnsi" w:hAnsiTheme="majorHAns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/>
          <w:sz w:val="26"/>
          <w:szCs w:val="26"/>
          <w:lang w:val="sr-Cyrl-BA"/>
        </w:rPr>
        <w:t>општем</w:t>
      </w:r>
      <w:r w:rsidRPr="0065490B">
        <w:rPr>
          <w:rFonts w:asciiTheme="majorHAnsi" w:hAnsiTheme="majorHAns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/>
          <w:sz w:val="26"/>
          <w:szCs w:val="26"/>
          <w:lang w:val="sr-Cyrl-BA"/>
        </w:rPr>
        <w:t>управном</w:t>
      </w:r>
      <w:r w:rsidRPr="0065490B">
        <w:rPr>
          <w:rFonts w:asciiTheme="majorHAnsi" w:hAnsiTheme="majorHAns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/>
          <w:sz w:val="26"/>
          <w:szCs w:val="26"/>
          <w:lang w:val="sr-Cyrl-BA"/>
        </w:rPr>
        <w:t>поступку</w:t>
      </w:r>
      <w:r w:rsidRPr="0065490B">
        <w:rPr>
          <w:rFonts w:asciiTheme="majorHAnsi" w:hAnsiTheme="majorHAns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/>
          <w:sz w:val="26"/>
          <w:szCs w:val="26"/>
          <w:lang w:val="sr-Cyrl-BA"/>
        </w:rPr>
        <w:t>Републике</w:t>
      </w:r>
      <w:r w:rsidRPr="0065490B">
        <w:rPr>
          <w:rFonts w:asciiTheme="majorHAnsi" w:hAnsiTheme="majorHAns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/>
          <w:sz w:val="26"/>
          <w:szCs w:val="26"/>
          <w:lang w:val="sr-Cyrl-BA"/>
        </w:rPr>
        <w:t>Српске</w:t>
      </w:r>
    </w:p>
    <w:p w:rsidR="0065490B" w:rsidRDefault="00DD65E6" w:rsidP="0065490B">
      <w:p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Закон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општем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управном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поступку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(“</w:t>
      </w:r>
      <w:r>
        <w:rPr>
          <w:rFonts w:asciiTheme="minorHAnsi" w:hAnsiTheme="minorHAnsi"/>
          <w:sz w:val="22"/>
          <w:szCs w:val="22"/>
          <w:lang w:val="sr-Cyrl-BA"/>
        </w:rPr>
        <w:t>Сл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гласник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РС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“, </w:t>
      </w:r>
      <w:r>
        <w:rPr>
          <w:rFonts w:asciiTheme="minorHAnsi" w:hAnsiTheme="minorHAnsi"/>
          <w:sz w:val="22"/>
          <w:szCs w:val="22"/>
          <w:lang w:val="sr-Cyrl-BA"/>
        </w:rPr>
        <w:t>број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13/02), </w:t>
      </w:r>
      <w:r>
        <w:rPr>
          <w:rFonts w:asciiTheme="minorHAnsi" w:hAnsiTheme="minorHAnsi"/>
          <w:sz w:val="22"/>
          <w:szCs w:val="22"/>
          <w:lang w:val="sr-Cyrl-BA"/>
        </w:rPr>
        <w:t>као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процесиони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закон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примјењује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приликом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одлучивања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складу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чланом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57 </w:t>
      </w:r>
      <w:r>
        <w:rPr>
          <w:rFonts w:asciiTheme="minorHAnsi" w:hAnsiTheme="minorHAnsi"/>
          <w:sz w:val="22"/>
          <w:szCs w:val="22"/>
          <w:lang w:val="sr-Cyrl-BA"/>
        </w:rPr>
        <w:t>Закона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концесијама</w:t>
      </w:r>
      <w:r w:rsidR="0065490B" w:rsidRPr="0065490B">
        <w:rPr>
          <w:rFonts w:asciiTheme="minorHAnsi" w:hAnsiTheme="minorHAnsi"/>
          <w:sz w:val="22"/>
          <w:szCs w:val="22"/>
          <w:lang w:val="sr-Cyrl-BA"/>
        </w:rPr>
        <w:t>.</w:t>
      </w:r>
    </w:p>
    <w:p w:rsidR="00C6412B" w:rsidRPr="0065490B" w:rsidRDefault="004464AB" w:rsidP="0065490B">
      <w:pPr>
        <w:spacing w:after="120"/>
        <w:jc w:val="both"/>
        <w:rPr>
          <w:rFonts w:asciiTheme="majorHAnsi" w:hAnsiTheme="majorHAnsi"/>
          <w:sz w:val="26"/>
          <w:szCs w:val="26"/>
          <w:lang w:val="sr-Cyrl-BA"/>
        </w:rPr>
      </w:pPr>
      <w:bookmarkStart w:id="9" w:name="_Toc449404308"/>
      <w:r w:rsidRPr="0065490B">
        <w:rPr>
          <w:rFonts w:asciiTheme="majorHAnsi" w:hAnsiTheme="majorHAnsi"/>
          <w:sz w:val="26"/>
          <w:szCs w:val="26"/>
          <w:lang w:val="sr-Cyrl-BA"/>
        </w:rPr>
        <w:lastRenderedPageBreak/>
        <w:t>2.1.2.3</w:t>
      </w:r>
      <w:r w:rsidR="004B07F7" w:rsidRPr="0065490B">
        <w:rPr>
          <w:rFonts w:asciiTheme="majorHAnsi" w:hAnsiTheme="majorHAnsi"/>
          <w:sz w:val="26"/>
          <w:szCs w:val="26"/>
          <w:lang w:val="sr-Cyrl-BA"/>
        </w:rPr>
        <w:t xml:space="preserve">. </w:t>
      </w:r>
      <w:r w:rsidR="00DD65E6">
        <w:rPr>
          <w:rFonts w:asciiTheme="majorHAnsi" w:hAnsiTheme="majorHAnsi"/>
          <w:sz w:val="26"/>
          <w:szCs w:val="26"/>
          <w:lang w:val="sr-Cyrl-BA"/>
        </w:rPr>
        <w:t>Закон</w:t>
      </w:r>
      <w:r w:rsidR="004B07F7" w:rsidRPr="0065490B">
        <w:rPr>
          <w:rFonts w:asciiTheme="majorHAnsi" w:hAnsiTheme="majorHAns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/>
          <w:sz w:val="26"/>
          <w:szCs w:val="26"/>
          <w:lang w:val="sr-Cyrl-BA"/>
        </w:rPr>
        <w:t>о</w:t>
      </w:r>
      <w:r w:rsidR="004B07F7" w:rsidRPr="0065490B">
        <w:rPr>
          <w:rFonts w:asciiTheme="majorHAnsi" w:hAnsiTheme="majorHAns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/>
          <w:sz w:val="26"/>
          <w:szCs w:val="26"/>
          <w:lang w:val="sr-Cyrl-BA"/>
        </w:rPr>
        <w:t>јавним</w:t>
      </w:r>
      <w:r w:rsidR="004B07F7" w:rsidRPr="0065490B">
        <w:rPr>
          <w:rFonts w:asciiTheme="majorHAnsi" w:hAnsiTheme="majorHAns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/>
          <w:sz w:val="26"/>
          <w:szCs w:val="26"/>
          <w:lang w:val="sr-Cyrl-BA"/>
        </w:rPr>
        <w:t>набавкама</w:t>
      </w:r>
      <w:r w:rsidR="004B07F7" w:rsidRPr="0065490B">
        <w:rPr>
          <w:rFonts w:asciiTheme="majorHAnsi" w:hAnsiTheme="majorHAns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/>
          <w:sz w:val="26"/>
          <w:szCs w:val="26"/>
          <w:lang w:val="sr-Cyrl-BA"/>
        </w:rPr>
        <w:t>Босне</w:t>
      </w:r>
      <w:r w:rsidR="004B07F7" w:rsidRPr="0065490B">
        <w:rPr>
          <w:rFonts w:asciiTheme="majorHAnsi" w:hAnsiTheme="majorHAns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/>
          <w:sz w:val="26"/>
          <w:szCs w:val="26"/>
          <w:lang w:val="sr-Cyrl-BA"/>
        </w:rPr>
        <w:t>и</w:t>
      </w:r>
      <w:r w:rsidR="004B07F7" w:rsidRPr="0065490B">
        <w:rPr>
          <w:rFonts w:asciiTheme="majorHAnsi" w:hAnsiTheme="majorHAns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/>
          <w:sz w:val="26"/>
          <w:szCs w:val="26"/>
          <w:lang w:val="sr-Cyrl-BA"/>
        </w:rPr>
        <w:t>Херцеговине</w:t>
      </w:r>
      <w:bookmarkEnd w:id="9"/>
      <w:r w:rsidR="004B07F7" w:rsidRPr="0065490B">
        <w:rPr>
          <w:rFonts w:asciiTheme="majorHAnsi" w:hAnsiTheme="majorHAnsi"/>
          <w:i/>
          <w:color w:val="92D050"/>
          <w:sz w:val="26"/>
          <w:szCs w:val="26"/>
          <w:lang w:val="sr-Cyrl-BA"/>
        </w:rPr>
        <w:t xml:space="preserve">  </w:t>
      </w:r>
    </w:p>
    <w:p w:rsidR="004B07F7" w:rsidRPr="00C6412B" w:rsidRDefault="00DD65E6" w:rsidP="004B07F7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Закон</w:t>
      </w:r>
      <w:r w:rsid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јавним</w:t>
      </w:r>
      <w:r w:rsid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набавкама</w:t>
      </w:r>
      <w:r w:rsidR="0000382E">
        <w:rPr>
          <w:rFonts w:ascii="Calibri" w:hAnsi="Calibri"/>
          <w:sz w:val="22"/>
          <w:szCs w:val="22"/>
          <w:lang w:val="sr-Cyrl-BA"/>
        </w:rPr>
        <w:t xml:space="preserve"> </w:t>
      </w:r>
      <w:r w:rsidR="004B07F7" w:rsidRPr="00C6412B">
        <w:rPr>
          <w:rFonts w:ascii="Calibri" w:hAnsi="Calibri"/>
          <w:sz w:val="22"/>
          <w:szCs w:val="22"/>
          <w:lang w:val="sr-Cyrl-BA"/>
        </w:rPr>
        <w:t>„</w:t>
      </w:r>
      <w:r>
        <w:rPr>
          <w:rFonts w:ascii="Calibri" w:hAnsi="Calibri"/>
          <w:sz w:val="22"/>
          <w:szCs w:val="22"/>
          <w:lang w:val="sr-Cyrl-BA"/>
        </w:rPr>
        <w:t>Сл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. </w:t>
      </w:r>
      <w:r>
        <w:rPr>
          <w:rFonts w:ascii="Calibri" w:hAnsi="Calibri"/>
          <w:sz w:val="22"/>
          <w:szCs w:val="22"/>
          <w:lang w:val="sr-Cyrl-BA"/>
        </w:rPr>
        <w:t>гласник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БиХ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“ </w:t>
      </w:r>
      <w:r>
        <w:rPr>
          <w:rFonts w:ascii="Calibri" w:hAnsi="Calibri"/>
          <w:sz w:val="22"/>
          <w:szCs w:val="22"/>
          <w:lang w:val="sr-Cyrl-BA"/>
        </w:rPr>
        <w:t>бр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39/014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дијелу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поступка</w:t>
      </w:r>
      <w:r w:rsidR="0000382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провођења</w:t>
      </w:r>
      <w:r w:rsidR="0000382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поступка</w:t>
      </w:r>
      <w:r w:rsidR="0000382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</w:t>
      </w:r>
      <w:r w:rsidR="0000382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јавном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позиву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укључујући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отварања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понуда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друго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дијелу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који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није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регулисан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Законом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другим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посебним</w:t>
      </w:r>
      <w:r w:rsidR="004B07F7" w:rsidRPr="00C6412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законима</w:t>
      </w:r>
      <w:r w:rsidR="004B07F7" w:rsidRPr="00C6412B">
        <w:rPr>
          <w:rFonts w:ascii="Calibri" w:hAnsi="Calibri"/>
          <w:sz w:val="22"/>
          <w:szCs w:val="22"/>
          <w:lang w:val="sr-Cyrl-BA"/>
        </w:rPr>
        <w:t>.</w:t>
      </w:r>
    </w:p>
    <w:p w:rsidR="004464AB" w:rsidRPr="00B005BB" w:rsidRDefault="004464AB" w:rsidP="0065490B">
      <w:pPr>
        <w:pStyle w:val="Heading3"/>
        <w:ind w:left="851" w:hanging="851"/>
        <w:rPr>
          <w:lang w:val="sr-Cyrl-BA"/>
        </w:rPr>
      </w:pPr>
      <w:bookmarkStart w:id="10" w:name="_Toc449404309"/>
      <w:r w:rsidRPr="00B005BB">
        <w:rPr>
          <w:lang w:val="sr-Cyrl-BA"/>
        </w:rPr>
        <w:t>2.1.2.4.</w:t>
      </w:r>
      <w:r w:rsidR="004B07F7" w:rsidRPr="00B005BB">
        <w:rPr>
          <w:lang w:val="sr-Cyrl-BA"/>
        </w:rPr>
        <w:t xml:space="preserve"> </w:t>
      </w:r>
      <w:r w:rsidR="00DD65E6">
        <w:rPr>
          <w:lang w:val="sr-Cyrl-BA"/>
        </w:rPr>
        <w:t>Други</w:t>
      </w:r>
      <w:r w:rsidR="004B07F7" w:rsidRPr="00B005BB">
        <w:rPr>
          <w:lang w:val="sr-Cyrl-BA"/>
        </w:rPr>
        <w:t xml:space="preserve"> </w:t>
      </w:r>
      <w:r w:rsidR="00DD65E6">
        <w:rPr>
          <w:lang w:val="sr-Cyrl-BA"/>
        </w:rPr>
        <w:t>закони</w:t>
      </w:r>
      <w:r w:rsidR="004B07F7" w:rsidRPr="00B005BB">
        <w:rPr>
          <w:lang w:val="sr-Cyrl-BA"/>
        </w:rPr>
        <w:t xml:space="preserve"> </w:t>
      </w:r>
      <w:r w:rsidR="00DD65E6">
        <w:rPr>
          <w:lang w:val="sr-Cyrl-BA"/>
        </w:rPr>
        <w:t>који</w:t>
      </w:r>
      <w:r w:rsidR="004B07F7" w:rsidRPr="00B005BB">
        <w:rPr>
          <w:lang w:val="sr-Cyrl-BA"/>
        </w:rPr>
        <w:t xml:space="preserve"> </w:t>
      </w:r>
      <w:r w:rsidR="00DD65E6">
        <w:rPr>
          <w:lang w:val="sr-Cyrl-BA"/>
        </w:rPr>
        <w:t>се</w:t>
      </w:r>
      <w:r w:rsidR="004B07F7" w:rsidRPr="00B005BB">
        <w:rPr>
          <w:lang w:val="sr-Cyrl-BA"/>
        </w:rPr>
        <w:t xml:space="preserve"> </w:t>
      </w:r>
      <w:r w:rsidR="00DD65E6">
        <w:rPr>
          <w:lang w:val="sr-Cyrl-BA"/>
        </w:rPr>
        <w:t>посредно</w:t>
      </w:r>
      <w:r w:rsidR="004B07F7" w:rsidRPr="00B005BB">
        <w:rPr>
          <w:lang w:val="sr-Cyrl-BA"/>
        </w:rPr>
        <w:t xml:space="preserve"> </w:t>
      </w:r>
      <w:r w:rsidR="00DD65E6">
        <w:rPr>
          <w:lang w:val="sr-Cyrl-BA"/>
        </w:rPr>
        <w:t>примјењују</w:t>
      </w:r>
      <w:r w:rsidR="005E1ED7">
        <w:rPr>
          <w:lang w:val="sr-Cyrl-BA"/>
        </w:rPr>
        <w:t xml:space="preserve"> </w:t>
      </w:r>
      <w:r w:rsidR="00DD65E6">
        <w:rPr>
          <w:lang w:val="sr-Cyrl-BA"/>
        </w:rPr>
        <w:t>у</w:t>
      </w:r>
      <w:r w:rsidR="005E1ED7">
        <w:rPr>
          <w:lang w:val="sr-Cyrl-BA"/>
        </w:rPr>
        <w:t xml:space="preserve"> </w:t>
      </w:r>
      <w:r w:rsidR="00DD65E6">
        <w:rPr>
          <w:lang w:val="sr-Cyrl-BA"/>
        </w:rPr>
        <w:t>поступку</w:t>
      </w:r>
      <w:r w:rsidR="005E1ED7">
        <w:rPr>
          <w:lang w:val="sr-Cyrl-BA"/>
        </w:rPr>
        <w:t xml:space="preserve"> </w:t>
      </w:r>
      <w:r w:rsidR="00DD65E6">
        <w:rPr>
          <w:lang w:val="sr-Cyrl-BA"/>
        </w:rPr>
        <w:t>додјеле</w:t>
      </w:r>
      <w:r w:rsidR="005E1ED7">
        <w:rPr>
          <w:lang w:val="sr-Cyrl-BA"/>
        </w:rPr>
        <w:t xml:space="preserve"> </w:t>
      </w:r>
      <w:r w:rsidR="00DD65E6">
        <w:rPr>
          <w:lang w:val="sr-Cyrl-BA"/>
        </w:rPr>
        <w:t>концесија</w:t>
      </w:r>
      <w:r w:rsidR="004B07F7" w:rsidRPr="00B005BB">
        <w:rPr>
          <w:lang w:val="sr-Cyrl-BA"/>
        </w:rPr>
        <w:t>.</w:t>
      </w:r>
      <w:bookmarkEnd w:id="10"/>
    </w:p>
    <w:p w:rsidR="004464AB" w:rsidRDefault="00DD65E6" w:rsidP="004B07F7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Комисија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обављању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послова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своје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надлежности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примјењује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друге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позитивне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прописе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складу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својим</w:t>
      </w:r>
      <w:r w:rsidR="004B07F7" w:rsidRPr="004464A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надлежностима</w:t>
      </w:r>
      <w:r w:rsidR="004B07F7" w:rsidRPr="004464AB">
        <w:rPr>
          <w:rFonts w:ascii="Calibri" w:hAnsi="Calibri"/>
          <w:sz w:val="22"/>
          <w:szCs w:val="22"/>
          <w:lang w:val="sr-Cyrl-BA"/>
        </w:rPr>
        <w:t>.</w:t>
      </w:r>
    </w:p>
    <w:p w:rsidR="00A44E19" w:rsidRPr="00A44E19" w:rsidRDefault="00DD65E6" w:rsidP="004B07F7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Постоји</w:t>
      </w:r>
      <w:r w:rsidR="00A44E19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неусаглашеност</w:t>
      </w:r>
      <w:r w:rsidR="00A44E19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позитивно</w:t>
      </w:r>
      <w:r w:rsidR="00A44E19" w:rsidRPr="00B36C7E">
        <w:rPr>
          <w:rFonts w:ascii="Calibri" w:hAnsi="Calibri"/>
          <w:sz w:val="22"/>
          <w:szCs w:val="22"/>
          <w:lang w:val="sr-Cyrl-BA"/>
        </w:rPr>
        <w:t>-</w:t>
      </w:r>
      <w:r>
        <w:rPr>
          <w:rFonts w:ascii="Calibri" w:hAnsi="Calibri"/>
          <w:sz w:val="22"/>
          <w:szCs w:val="22"/>
          <w:lang w:val="sr-Cyrl-BA"/>
        </w:rPr>
        <w:t>правних</w:t>
      </w:r>
      <w:r w:rsidR="00A44E19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прописа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Законом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. </w:t>
      </w:r>
      <w:r>
        <w:rPr>
          <w:rFonts w:ascii="Calibri" w:hAnsi="Calibri"/>
          <w:sz w:val="22"/>
          <w:szCs w:val="22"/>
          <w:lang w:val="sr-Cyrl-BA"/>
        </w:rPr>
        <w:t>Због</w:t>
      </w:r>
      <w:r w:rsidR="00A44E19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тога</w:t>
      </w:r>
      <w:r w:rsidR="00A44E19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A44E19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неопходно</w:t>
      </w:r>
      <w:r w:rsidR="00A44E19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извршити</w:t>
      </w:r>
      <w:r w:rsidR="00A44E19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усаглашавање</w:t>
      </w:r>
      <w:r w:rsidR="00A44E19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Закона</w:t>
      </w:r>
      <w:r w:rsidR="00A44E19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A44E19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A44E19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A44E19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A44E19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Законом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водама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Законом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шумама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Законом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ловству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Законом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рибарству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Законом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коришћењу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природних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ресурса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сврху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производње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електричне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енергије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>,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Законом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јавно</w:t>
      </w:r>
      <w:r w:rsidR="00C4080A" w:rsidRPr="00B36C7E">
        <w:rPr>
          <w:rFonts w:ascii="Calibri" w:hAnsi="Calibri"/>
          <w:sz w:val="22"/>
          <w:szCs w:val="22"/>
          <w:lang w:val="sr-Cyrl-BA"/>
        </w:rPr>
        <w:t>-</w:t>
      </w:r>
      <w:r>
        <w:rPr>
          <w:rFonts w:ascii="Calibri" w:hAnsi="Calibri"/>
          <w:sz w:val="22"/>
          <w:szCs w:val="22"/>
          <w:lang w:val="sr-Cyrl-BA"/>
        </w:rPr>
        <w:t>приватном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партнерству</w:t>
      </w:r>
      <w:r w:rsidR="00C4080A" w:rsidRPr="00B36C7E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Законом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страним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улагањима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другим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позитивно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>-</w:t>
      </w:r>
      <w:r>
        <w:rPr>
          <w:rFonts w:asciiTheme="minorHAnsi" w:hAnsiTheme="minorHAnsi" w:cs="Calibri"/>
          <w:sz w:val="22"/>
          <w:szCs w:val="22"/>
          <w:lang w:val="sr-Cyrl-CS"/>
        </w:rPr>
        <w:t>правним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прописима</w:t>
      </w:r>
      <w:r w:rsidR="00A44E19" w:rsidRPr="00B36C7E">
        <w:rPr>
          <w:rFonts w:asciiTheme="minorHAnsi" w:hAnsiTheme="minorHAnsi" w:cs="Calibri"/>
          <w:sz w:val="22"/>
          <w:szCs w:val="22"/>
          <w:lang w:val="sr-Cyrl-CS"/>
        </w:rPr>
        <w:t>.</w:t>
      </w:r>
    </w:p>
    <w:p w:rsidR="00FF0C0B" w:rsidRPr="0074522E" w:rsidRDefault="00FF0C0B" w:rsidP="0074522E">
      <w:pPr>
        <w:pStyle w:val="NoSpacing"/>
        <w:rPr>
          <w:rFonts w:asciiTheme="majorHAnsi" w:hAnsiTheme="majorHAnsi"/>
          <w:sz w:val="26"/>
          <w:szCs w:val="26"/>
          <w:lang w:val="sr-Cyrl-BA"/>
        </w:rPr>
      </w:pPr>
      <w:bookmarkStart w:id="11" w:name="_Toc418075605"/>
      <w:bookmarkStart w:id="12" w:name="_Toc449404310"/>
      <w:bookmarkStart w:id="13" w:name="_Toc418075608"/>
      <w:r w:rsidRPr="0074522E">
        <w:rPr>
          <w:rFonts w:asciiTheme="majorHAnsi" w:hAnsiTheme="majorHAnsi"/>
          <w:sz w:val="26"/>
          <w:szCs w:val="26"/>
        </w:rPr>
        <w:t>2</w:t>
      </w:r>
      <w:r w:rsidRPr="0074522E">
        <w:rPr>
          <w:rFonts w:asciiTheme="majorHAnsi" w:hAnsiTheme="majorHAnsi"/>
          <w:sz w:val="26"/>
          <w:szCs w:val="26"/>
          <w:lang w:val="sr-Cyrl-BA"/>
        </w:rPr>
        <w:t>.2.</w:t>
      </w:r>
      <w:r w:rsidRPr="0074522E">
        <w:rPr>
          <w:rFonts w:asciiTheme="majorHAnsi" w:hAnsiTheme="majorHAnsi"/>
          <w:sz w:val="26"/>
          <w:szCs w:val="26"/>
        </w:rPr>
        <w:t xml:space="preserve"> </w:t>
      </w:r>
      <w:r w:rsidR="00DD65E6">
        <w:rPr>
          <w:rFonts w:asciiTheme="majorHAnsi" w:hAnsiTheme="majorHAnsi"/>
          <w:sz w:val="26"/>
          <w:szCs w:val="26"/>
        </w:rPr>
        <w:t>Подзаконск</w:t>
      </w:r>
      <w:r w:rsidR="00DD65E6">
        <w:rPr>
          <w:rFonts w:asciiTheme="majorHAnsi" w:hAnsiTheme="majorHAnsi"/>
          <w:sz w:val="26"/>
          <w:szCs w:val="26"/>
          <w:lang w:val="sr-Cyrl-BA"/>
        </w:rPr>
        <w:t>и</w:t>
      </w:r>
      <w:r w:rsidRPr="0074522E">
        <w:rPr>
          <w:rFonts w:asciiTheme="majorHAnsi" w:hAnsiTheme="majorHAnsi"/>
          <w:sz w:val="26"/>
          <w:szCs w:val="26"/>
        </w:rPr>
        <w:t xml:space="preserve"> </w:t>
      </w:r>
      <w:r w:rsidR="00DD65E6">
        <w:rPr>
          <w:rFonts w:asciiTheme="majorHAnsi" w:hAnsiTheme="majorHAnsi"/>
          <w:sz w:val="26"/>
          <w:szCs w:val="26"/>
        </w:rPr>
        <w:t>акт</w:t>
      </w:r>
      <w:bookmarkEnd w:id="11"/>
      <w:r w:rsidR="00DD65E6">
        <w:rPr>
          <w:rFonts w:asciiTheme="majorHAnsi" w:hAnsiTheme="majorHAnsi"/>
          <w:sz w:val="26"/>
          <w:szCs w:val="26"/>
          <w:lang w:val="sr-Cyrl-BA"/>
        </w:rPr>
        <w:t>и</w:t>
      </w:r>
      <w:bookmarkEnd w:id="12"/>
    </w:p>
    <w:p w:rsidR="0074522E" w:rsidRDefault="0074522E" w:rsidP="00DC0F7E">
      <w:pPr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FF0C0B" w:rsidRPr="00B005BB" w:rsidRDefault="00DD65E6" w:rsidP="00DC0F7E">
      <w:p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обавља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послове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своје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надлежности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основу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Закона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Босне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Херцеговине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али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sz w:val="22"/>
          <w:szCs w:val="22"/>
          <w:lang w:val="sr-Cyrl-BA"/>
        </w:rPr>
        <w:t>подзаконских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аката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донијела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оквиру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своје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надлежности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као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подзаконских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аката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Cyrl-BA"/>
        </w:rPr>
        <w:t>правилници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упутства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) </w:t>
      </w:r>
      <w:r>
        <w:rPr>
          <w:rFonts w:asciiTheme="minorHAnsi" w:hAnsiTheme="minorHAnsi"/>
          <w:sz w:val="22"/>
          <w:szCs w:val="22"/>
          <w:lang w:val="sr-Cyrl-BA"/>
        </w:rPr>
        <w:t>других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надлежних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органа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тијела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Cyrl-BA"/>
        </w:rPr>
        <w:t>Влада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ресорна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министарства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агенције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>).</w:t>
      </w:r>
    </w:p>
    <w:p w:rsidR="00FF0C0B" w:rsidRPr="00B005BB" w:rsidRDefault="00DD65E6" w:rsidP="00DC0F7E">
      <w:p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донијела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све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подзаконске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акте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B67D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своје</w:t>
      </w:r>
      <w:r w:rsidR="00B67D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надлежности</w:t>
      </w:r>
      <w:r w:rsidR="00B67DD2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B67D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које</w:t>
      </w:r>
      <w:r w:rsidR="00B67D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предвиђа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Закон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концесијама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други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Закони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претходном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периоду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FF0C0B" w:rsidRPr="00B005B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донијела</w:t>
      </w:r>
      <w:r w:rsidR="00274EE4" w:rsidRPr="00B005BB">
        <w:rPr>
          <w:rFonts w:asciiTheme="minorHAnsi" w:hAnsiTheme="minorHAnsi"/>
          <w:sz w:val="22"/>
          <w:szCs w:val="22"/>
          <w:lang w:val="sr-Cyrl-BA"/>
        </w:rPr>
        <w:t>:</w:t>
      </w:r>
    </w:p>
    <w:p w:rsidR="00FF0C0B" w:rsidRDefault="00DD65E6" w:rsidP="00DC0F7E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Правилник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унутрашњој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организацији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систематизацији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радних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мјеста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Комисији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274EE4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274EE4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274EE4" w:rsidRPr="00C209BF">
        <w:rPr>
          <w:rFonts w:asciiTheme="minorHAnsi" w:hAnsiTheme="minorHAnsi"/>
          <w:sz w:val="22"/>
          <w:szCs w:val="22"/>
          <w:lang w:val="sr-Cyrl-BA"/>
        </w:rPr>
        <w:t xml:space="preserve"> („</w:t>
      </w:r>
      <w:r>
        <w:rPr>
          <w:rFonts w:asciiTheme="minorHAnsi" w:hAnsiTheme="minorHAnsi"/>
          <w:sz w:val="22"/>
          <w:szCs w:val="22"/>
          <w:lang w:val="sr-Cyrl-BA"/>
        </w:rPr>
        <w:t>Службени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гласник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РС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“ </w:t>
      </w:r>
      <w:r>
        <w:rPr>
          <w:rFonts w:asciiTheme="minorHAnsi" w:hAnsiTheme="minorHAnsi"/>
          <w:sz w:val="22"/>
          <w:szCs w:val="22"/>
          <w:lang w:val="sr-Cyrl-BA"/>
        </w:rPr>
        <w:t>бр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>. 77/04)</w:t>
      </w:r>
      <w:r w:rsidR="00BE498A">
        <w:rPr>
          <w:rFonts w:asciiTheme="minorHAnsi" w:hAnsiTheme="minorHAnsi"/>
          <w:sz w:val="22"/>
          <w:szCs w:val="22"/>
          <w:lang w:val="sr-Cyrl-BA"/>
        </w:rPr>
        <w:t>,</w:t>
      </w:r>
    </w:p>
    <w:p w:rsidR="00DE4BA5" w:rsidRPr="00B36C7E" w:rsidRDefault="00DD65E6" w:rsidP="00DC0F7E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Правилник</w:t>
      </w:r>
      <w:r w:rsidR="00BE498A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BE498A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платама</w:t>
      </w:r>
      <w:r w:rsidR="00BE498A" w:rsidRPr="00B36C7E">
        <w:rPr>
          <w:rFonts w:asciiTheme="minorHAnsi" w:hAnsiTheme="minorHAnsi"/>
          <w:sz w:val="22"/>
          <w:szCs w:val="22"/>
          <w:lang w:val="sr-Cyrl-BA"/>
        </w:rPr>
        <w:t xml:space="preserve"> („</w:t>
      </w:r>
      <w:r>
        <w:rPr>
          <w:rFonts w:asciiTheme="minorHAnsi" w:hAnsiTheme="minorHAnsi"/>
          <w:sz w:val="22"/>
          <w:szCs w:val="22"/>
          <w:lang w:val="sr-Cyrl-BA"/>
        </w:rPr>
        <w:t>Службени</w:t>
      </w:r>
      <w:r w:rsidR="00BE498A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гласник</w:t>
      </w:r>
      <w:r w:rsidR="00BE498A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B5581C"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BE498A" w:rsidRPr="00B36C7E">
        <w:rPr>
          <w:rFonts w:asciiTheme="minorHAnsi" w:hAnsiTheme="minorHAnsi"/>
          <w:sz w:val="22"/>
          <w:szCs w:val="22"/>
          <w:lang w:val="sr-Cyrl-BA"/>
        </w:rPr>
        <w:t xml:space="preserve">“ </w:t>
      </w:r>
      <w:r>
        <w:rPr>
          <w:rFonts w:asciiTheme="minorHAnsi" w:hAnsiTheme="minorHAnsi"/>
          <w:sz w:val="22"/>
          <w:szCs w:val="22"/>
          <w:lang w:val="sr-Cyrl-BA"/>
        </w:rPr>
        <w:t>бр</w:t>
      </w:r>
      <w:r w:rsidR="00BE498A" w:rsidRPr="00B36C7E">
        <w:rPr>
          <w:rFonts w:asciiTheme="minorHAnsi" w:hAnsiTheme="minorHAnsi"/>
          <w:sz w:val="22"/>
          <w:szCs w:val="22"/>
          <w:lang w:val="sr-Cyrl-BA"/>
        </w:rPr>
        <w:t>.</w:t>
      </w:r>
      <w:r w:rsidR="00B5581C" w:rsidRPr="00B36C7E">
        <w:rPr>
          <w:rFonts w:asciiTheme="minorHAnsi" w:hAnsiTheme="minorHAnsi"/>
          <w:sz w:val="22"/>
          <w:szCs w:val="22"/>
          <w:lang w:val="sr-Cyrl-BA"/>
        </w:rPr>
        <w:t>79/08),</w:t>
      </w:r>
    </w:p>
    <w:p w:rsidR="00FF0C0B" w:rsidRPr="00C209BF" w:rsidRDefault="00DE4BA5" w:rsidP="00DC0F7E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B36C7E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Упутство</w:t>
      </w:r>
      <w:r w:rsidR="00FF0C0B" w:rsidRPr="00B36C7E">
        <w:rPr>
          <w:rFonts w:asciiTheme="minorHAnsi" w:hAnsiTheme="minorHAnsi"/>
          <w:sz w:val="22"/>
          <w:szCs w:val="22"/>
          <w:lang w:val="sr-Cyrl-BA"/>
        </w:rPr>
        <w:t xml:space="preserve">  </w:t>
      </w:r>
      <w:r w:rsidR="00DD65E6">
        <w:rPr>
          <w:rFonts w:asciiTheme="minorHAnsi" w:hAnsiTheme="minorHAnsi"/>
          <w:sz w:val="22"/>
          <w:szCs w:val="22"/>
          <w:lang w:val="sr-Cyrl-BA"/>
        </w:rPr>
        <w:t>за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процјену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постојања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јавног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интереса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код</w:t>
      </w:r>
      <w:r w:rsidR="00416C0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самоиницијативне</w:t>
      </w:r>
      <w:r w:rsidR="00416C0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понуде</w:t>
      </w:r>
      <w:r w:rsidR="00416C0F">
        <w:rPr>
          <w:rFonts w:asciiTheme="minorHAnsi" w:hAnsiTheme="minorHAnsi"/>
          <w:sz w:val="22"/>
          <w:szCs w:val="22"/>
          <w:lang w:val="sr-Cyrl-BA"/>
        </w:rPr>
        <w:t xml:space="preserve"> (</w:t>
      </w:r>
      <w:r w:rsidR="00274EE4" w:rsidRPr="00C209BF">
        <w:rPr>
          <w:rFonts w:asciiTheme="minorHAnsi" w:hAnsiTheme="minorHAnsi"/>
          <w:sz w:val="22"/>
          <w:szCs w:val="22"/>
          <w:lang w:val="sr-Cyrl-BA"/>
        </w:rPr>
        <w:t>„</w:t>
      </w:r>
      <w:r w:rsidR="00DD65E6">
        <w:rPr>
          <w:rFonts w:asciiTheme="minorHAnsi" w:hAnsiTheme="minorHAnsi"/>
          <w:sz w:val="22"/>
          <w:szCs w:val="22"/>
          <w:lang w:val="sr-Cyrl-BA"/>
        </w:rPr>
        <w:t>Службени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Гласник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Српске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BA"/>
        </w:rPr>
        <w:t>бр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>. 103/05)</w:t>
      </w:r>
      <w:r w:rsidR="00274EE4" w:rsidRPr="00C209BF">
        <w:rPr>
          <w:rFonts w:asciiTheme="minorHAnsi" w:hAnsiTheme="minorHAnsi"/>
          <w:sz w:val="22"/>
          <w:szCs w:val="22"/>
          <w:lang w:val="sr-Cyrl-BA"/>
        </w:rPr>
        <w:t>,</w:t>
      </w:r>
    </w:p>
    <w:p w:rsidR="00FF0C0B" w:rsidRPr="00C209BF" w:rsidRDefault="00DD65E6" w:rsidP="00DC0F7E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и</w:t>
      </w:r>
      <w:r w:rsidR="00274EE4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току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припрема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нових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Правилника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складу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Законом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концесијама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(„</w:t>
      </w:r>
      <w:r>
        <w:rPr>
          <w:rFonts w:asciiTheme="minorHAnsi" w:hAnsiTheme="minorHAnsi"/>
          <w:sz w:val="22"/>
          <w:szCs w:val="22"/>
          <w:lang w:val="sr-Cyrl-BA"/>
        </w:rPr>
        <w:t>Службени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гласник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“ </w:t>
      </w:r>
      <w:r>
        <w:rPr>
          <w:rFonts w:asciiTheme="minorHAnsi" w:hAnsiTheme="minorHAnsi"/>
          <w:sz w:val="22"/>
          <w:szCs w:val="22"/>
          <w:lang w:val="sr-Cyrl-BA"/>
        </w:rPr>
        <w:t>бр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>. 59/13)</w:t>
      </w:r>
      <w:r w:rsidR="00274EE4" w:rsidRPr="00C209BF">
        <w:rPr>
          <w:rFonts w:asciiTheme="minorHAnsi" w:hAnsiTheme="minorHAnsi"/>
          <w:sz w:val="22"/>
          <w:szCs w:val="22"/>
          <w:lang w:val="sr-Cyrl-BA"/>
        </w:rPr>
        <w:t>.</w:t>
      </w:r>
    </w:p>
    <w:p w:rsidR="00FF0C0B" w:rsidRDefault="00DD65E6" w:rsidP="00DC0F7E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У</w:t>
      </w:r>
      <w:r w:rsidR="00DC0F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складу</w:t>
      </w:r>
      <w:r w:rsidR="00DC0F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DC0F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чланом</w:t>
      </w:r>
      <w:r w:rsidR="00DC0F7E">
        <w:rPr>
          <w:rFonts w:ascii="Calibri" w:hAnsi="Calibri"/>
          <w:sz w:val="22"/>
          <w:szCs w:val="22"/>
          <w:lang w:val="sr-Cyrl-BA"/>
        </w:rPr>
        <w:t xml:space="preserve"> 59</w:t>
      </w:r>
      <w:r w:rsidR="00B5581C">
        <w:rPr>
          <w:rFonts w:ascii="Calibri" w:hAnsi="Calibri"/>
          <w:sz w:val="22"/>
          <w:szCs w:val="22"/>
          <w:lang w:val="sr-Cyrl-BA"/>
        </w:rPr>
        <w:t>.</w:t>
      </w:r>
      <w:r w:rsidR="00DC0F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DC0F7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чланом</w:t>
      </w:r>
      <w:r w:rsidR="00DC0F7E">
        <w:rPr>
          <w:rFonts w:ascii="Calibri" w:hAnsi="Calibri"/>
          <w:sz w:val="22"/>
          <w:szCs w:val="22"/>
          <w:lang w:val="sr-Cyrl-BA"/>
        </w:rPr>
        <w:t xml:space="preserve"> 68</w:t>
      </w:r>
      <w:r w:rsidR="00B5581C">
        <w:rPr>
          <w:rFonts w:ascii="Calibri" w:hAnsi="Calibri"/>
          <w:sz w:val="22"/>
          <w:szCs w:val="22"/>
          <w:lang w:val="sr-Cyrl-BA"/>
        </w:rPr>
        <w:t>.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Закона</w:t>
      </w:r>
      <w:r w:rsidR="00274EE4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274EE4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274EE4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Комисија</w:t>
      </w:r>
      <w:r w:rsidR="00274EE4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274EE4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уз</w:t>
      </w:r>
      <w:r w:rsidR="00FF0C0B" w:rsidRPr="00C209B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сагласност</w:t>
      </w:r>
      <w:r w:rsidR="00FF0C0B" w:rsidRPr="00C209B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Владе</w:t>
      </w:r>
      <w:r w:rsidR="00FF0C0B" w:rsidRPr="00C209B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FF0C0B" w:rsidRPr="00C209B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FF0C0B" w:rsidRPr="00C209BF">
        <w:rPr>
          <w:rFonts w:ascii="Calibri" w:hAnsi="Calibri"/>
          <w:sz w:val="22"/>
          <w:szCs w:val="22"/>
          <w:lang w:val="sr-Cyrl-BA"/>
        </w:rPr>
        <w:t xml:space="preserve"> </w:t>
      </w:r>
      <w:r w:rsidR="00FF0C0B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донијела</w:t>
      </w:r>
      <w:r w:rsidR="00B67DD2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сљедећа</w:t>
      </w:r>
      <w:r w:rsidR="00FF0C0B" w:rsidRPr="00C209B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подзаконска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акта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: </w:t>
      </w:r>
    </w:p>
    <w:p w:rsidR="00FF0C0B" w:rsidRPr="00C209BF" w:rsidRDefault="00DD65E6" w:rsidP="00DC0F7E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Правилник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поступку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уступања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концесији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промјени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власничке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структуре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концесионара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>, („</w:t>
      </w:r>
      <w:r>
        <w:rPr>
          <w:rFonts w:asciiTheme="minorHAnsi" w:hAnsiTheme="minorHAnsi"/>
          <w:sz w:val="22"/>
          <w:szCs w:val="22"/>
          <w:lang w:val="sr-Cyrl-BA"/>
        </w:rPr>
        <w:t>Службени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гласник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“ </w:t>
      </w:r>
      <w:r>
        <w:rPr>
          <w:rFonts w:asciiTheme="minorHAnsi" w:hAnsiTheme="minorHAnsi"/>
          <w:sz w:val="22"/>
          <w:szCs w:val="22"/>
          <w:lang w:val="sr-Cyrl-BA"/>
        </w:rPr>
        <w:t>број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65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24. 07. 2014.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>)</w:t>
      </w:r>
    </w:p>
    <w:p w:rsidR="00C209BF" w:rsidRPr="00DC0F7E" w:rsidRDefault="00DD65E6" w:rsidP="00DC0F7E">
      <w:pPr>
        <w:pStyle w:val="ListParagraph"/>
        <w:numPr>
          <w:ilvl w:val="0"/>
          <w:numId w:val="16"/>
        </w:numPr>
        <w:spacing w:after="24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Правилник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садржају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начину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вођења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регистра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концесијама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(„</w:t>
      </w:r>
      <w:r>
        <w:rPr>
          <w:rFonts w:asciiTheme="minorHAnsi" w:hAnsiTheme="minorHAnsi"/>
          <w:sz w:val="22"/>
          <w:szCs w:val="22"/>
          <w:lang w:val="sr-Cyrl-BA"/>
        </w:rPr>
        <w:t>Службени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гласник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FF0C0B" w:rsidRPr="00C209BF">
        <w:rPr>
          <w:rFonts w:asciiTheme="minorHAnsi" w:hAnsiTheme="minorHAnsi"/>
          <w:sz w:val="22"/>
          <w:szCs w:val="22"/>
          <w:lang w:val="sr-Cyrl-BA"/>
        </w:rPr>
        <w:t xml:space="preserve">“ </w:t>
      </w:r>
      <w:r>
        <w:rPr>
          <w:rFonts w:asciiTheme="minorHAnsi" w:hAnsiTheme="minorHAnsi"/>
          <w:sz w:val="22"/>
          <w:szCs w:val="22"/>
          <w:lang w:val="sr-Cyrl-BA"/>
        </w:rPr>
        <w:t>број</w:t>
      </w:r>
      <w:r w:rsidR="00C209BF">
        <w:rPr>
          <w:rFonts w:asciiTheme="minorHAnsi" w:hAnsiTheme="minorHAnsi"/>
          <w:sz w:val="22"/>
          <w:szCs w:val="22"/>
          <w:lang w:val="sr-Cyrl-BA"/>
        </w:rPr>
        <w:t xml:space="preserve"> 65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C209BF">
        <w:rPr>
          <w:rFonts w:asciiTheme="minorHAnsi" w:hAnsiTheme="minorHAnsi"/>
          <w:sz w:val="22"/>
          <w:szCs w:val="22"/>
          <w:lang w:val="sr-Cyrl-BA"/>
        </w:rPr>
        <w:t xml:space="preserve"> 24. 07. 2014.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C209BF">
        <w:rPr>
          <w:rFonts w:asciiTheme="minorHAnsi" w:hAnsiTheme="minorHAnsi"/>
          <w:sz w:val="22"/>
          <w:szCs w:val="22"/>
          <w:lang w:val="sr-Cyrl-BA"/>
        </w:rPr>
        <w:t>).</w:t>
      </w:r>
    </w:p>
    <w:p w:rsidR="00FF0C0B" w:rsidRPr="00BF0F9C" w:rsidRDefault="00DD65E6" w:rsidP="00FF0C0B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Доношење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наведених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подзаконских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аката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било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потребно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због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чињенице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међувремену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ступио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снагу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нови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FF0C0B" w:rsidRPr="00BF0F9C">
        <w:rPr>
          <w:rFonts w:ascii="Calibri" w:hAnsi="Calibri"/>
          <w:sz w:val="22"/>
          <w:szCs w:val="22"/>
          <w:lang w:val="sr-Cyrl-BA"/>
        </w:rPr>
        <w:t>.</w:t>
      </w:r>
    </w:p>
    <w:p w:rsidR="00FF0C0B" w:rsidRDefault="00DD65E6" w:rsidP="00FF0C0B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Поред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наведених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Комисија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свом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раду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примјењује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друга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подзаконска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акта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којима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се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уређује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организација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дјелокруг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рада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Комисије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вођење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поступака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поступања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Комисије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предметима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њене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надлежности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као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што</w:t>
      </w:r>
      <w:r w:rsidR="00FF0C0B" w:rsidRPr="00BF0F9C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су</w:t>
      </w:r>
      <w:r w:rsidR="00FF0C0B" w:rsidRPr="00BF0F9C">
        <w:rPr>
          <w:rFonts w:ascii="Calibri" w:hAnsi="Calibri"/>
          <w:sz w:val="22"/>
          <w:szCs w:val="22"/>
          <w:lang w:val="sr-Cyrl-BA"/>
        </w:rPr>
        <w:t>:</w:t>
      </w:r>
    </w:p>
    <w:p w:rsidR="00FF0C0B" w:rsidRPr="00C209BF" w:rsidRDefault="00DD65E6" w:rsidP="00B21446">
      <w:pPr>
        <w:pStyle w:val="ListParagraph"/>
        <w:numPr>
          <w:ilvl w:val="0"/>
          <w:numId w:val="9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Latn-BA"/>
        </w:rPr>
        <w:t>Правилник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Јавним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набавкама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>;</w:t>
      </w:r>
    </w:p>
    <w:p w:rsidR="00FF0C0B" w:rsidRPr="00C209BF" w:rsidRDefault="00DD65E6" w:rsidP="00B21446">
      <w:pPr>
        <w:pStyle w:val="ListParagraph"/>
        <w:numPr>
          <w:ilvl w:val="0"/>
          <w:numId w:val="9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Latn-BA"/>
        </w:rPr>
        <w:t>Правилник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поступку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директног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споразума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Јавних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набавки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; </w:t>
      </w:r>
    </w:p>
    <w:p w:rsidR="00FF0C0B" w:rsidRPr="00C209BF" w:rsidRDefault="00DD65E6" w:rsidP="00B21446">
      <w:pPr>
        <w:pStyle w:val="ListParagraph"/>
        <w:numPr>
          <w:ilvl w:val="0"/>
          <w:numId w:val="9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Latn-BA"/>
        </w:rPr>
        <w:t>Правилник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начину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вршења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пописа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усклађивања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књиговодственог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са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стварним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стањем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имовине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обавеза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</w:p>
    <w:p w:rsidR="004464AB" w:rsidRPr="00DC0F7E" w:rsidRDefault="00DD65E6" w:rsidP="00DC0F7E">
      <w:pPr>
        <w:pStyle w:val="ListParagraph"/>
        <w:numPr>
          <w:ilvl w:val="0"/>
          <w:numId w:val="9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Latn-BA"/>
        </w:rPr>
        <w:t>Правилник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накнади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трошкова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превоза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код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одласка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на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посао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повратка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са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посла</w:t>
      </w:r>
      <w:r w:rsidR="00FF0C0B" w:rsidRPr="00C209BF">
        <w:rPr>
          <w:rFonts w:asciiTheme="minorHAnsi" w:eastAsiaTheme="minorHAnsi" w:hAnsiTheme="minorHAnsi"/>
          <w:sz w:val="22"/>
          <w:szCs w:val="22"/>
          <w:lang w:val="sr-Latn-BA"/>
        </w:rPr>
        <w:t>.</w:t>
      </w:r>
    </w:p>
    <w:p w:rsidR="00867E96" w:rsidRDefault="00867E96" w:rsidP="00DC0F7E">
      <w:pPr>
        <w:pStyle w:val="Heading1"/>
        <w:rPr>
          <w:noProof/>
          <w:lang w:val="sr-Cyrl-BA"/>
        </w:rPr>
      </w:pPr>
      <w:bookmarkStart w:id="14" w:name="_Toc449404311"/>
      <w:r w:rsidRPr="002419AA">
        <w:rPr>
          <w:noProof/>
          <w:lang w:val="sr-Cyrl-BA"/>
        </w:rPr>
        <w:lastRenderedPageBreak/>
        <w:t>3</w:t>
      </w:r>
      <w:r w:rsidRPr="002419AA">
        <w:rPr>
          <w:noProof/>
        </w:rPr>
        <w:t xml:space="preserve">.  </w:t>
      </w:r>
      <w:r w:rsidR="00DD65E6">
        <w:rPr>
          <w:noProof/>
        </w:rPr>
        <w:t>ОСНОВНЕ</w:t>
      </w:r>
      <w:r w:rsidRPr="002419AA">
        <w:rPr>
          <w:noProof/>
        </w:rPr>
        <w:t xml:space="preserve"> </w:t>
      </w:r>
      <w:r w:rsidR="00DD65E6">
        <w:rPr>
          <w:noProof/>
        </w:rPr>
        <w:t>АКТИВНОСТИ</w:t>
      </w:r>
      <w:r w:rsidRPr="002419AA">
        <w:rPr>
          <w:noProof/>
        </w:rPr>
        <w:t xml:space="preserve"> </w:t>
      </w:r>
      <w:r w:rsidR="00DD65E6">
        <w:rPr>
          <w:noProof/>
        </w:rPr>
        <w:t>КОМИСИЈЕ</w:t>
      </w:r>
      <w:r w:rsidRPr="002419AA">
        <w:rPr>
          <w:noProof/>
        </w:rPr>
        <w:t xml:space="preserve"> </w:t>
      </w:r>
      <w:r w:rsidR="00DD65E6">
        <w:rPr>
          <w:noProof/>
        </w:rPr>
        <w:t>ЗА</w:t>
      </w:r>
      <w:r w:rsidRPr="002419AA">
        <w:rPr>
          <w:noProof/>
        </w:rPr>
        <w:t xml:space="preserve"> </w:t>
      </w:r>
      <w:r w:rsidR="00DD65E6">
        <w:rPr>
          <w:noProof/>
        </w:rPr>
        <w:t>КОНЦЕСИЈЕ</w:t>
      </w:r>
      <w:r w:rsidRPr="002419AA">
        <w:rPr>
          <w:noProof/>
        </w:rPr>
        <w:t xml:space="preserve"> </w:t>
      </w:r>
      <w:r w:rsidR="00DD65E6">
        <w:rPr>
          <w:noProof/>
        </w:rPr>
        <w:t>РЕПУБЛИКЕ</w:t>
      </w:r>
      <w:r w:rsidRPr="002419AA">
        <w:rPr>
          <w:noProof/>
        </w:rPr>
        <w:t xml:space="preserve"> </w:t>
      </w:r>
      <w:r w:rsidR="00DD65E6">
        <w:rPr>
          <w:noProof/>
        </w:rPr>
        <w:t>СРПСКЕ</w:t>
      </w:r>
      <w:bookmarkEnd w:id="13"/>
      <w:bookmarkEnd w:id="14"/>
    </w:p>
    <w:p w:rsidR="00867E96" w:rsidRPr="00232CF6" w:rsidRDefault="00DD65E6" w:rsidP="00B43581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У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досадашњем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раду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Комисија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CC07F8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CC07F8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Републике</w:t>
      </w:r>
      <w:r w:rsidR="00CC07F8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Српске</w:t>
      </w:r>
      <w:r w:rsidR="00CC07F8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укупно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одржала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E06804" w:rsidRPr="00C209BF">
        <w:rPr>
          <w:rFonts w:asciiTheme="minorHAnsi" w:hAnsiTheme="minorHAnsi"/>
          <w:sz w:val="22"/>
          <w:szCs w:val="22"/>
        </w:rPr>
        <w:t>549</w:t>
      </w:r>
      <w:r w:rsidR="002F5989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E06804" w:rsidRPr="00C209BF">
        <w:rPr>
          <w:rFonts w:asciiTheme="minorHAnsi" w:hAnsiTheme="minorHAnsi"/>
          <w:sz w:val="22"/>
          <w:szCs w:val="22"/>
          <w:lang w:val="sr-Cyrl-BA"/>
        </w:rPr>
        <w:t>(</w:t>
      </w:r>
      <w:r>
        <w:rPr>
          <w:rFonts w:asciiTheme="minorHAnsi" w:hAnsiTheme="minorHAnsi"/>
          <w:sz w:val="22"/>
          <w:szCs w:val="22"/>
          <w:lang w:val="sr-Cyrl-BA"/>
        </w:rPr>
        <w:t>петстотин</w:t>
      </w:r>
      <w:r>
        <w:rPr>
          <w:rFonts w:asciiTheme="minorHAnsi" w:hAnsiTheme="minorHAnsi"/>
          <w:sz w:val="22"/>
          <w:szCs w:val="22"/>
        </w:rPr>
        <w:t>а</w:t>
      </w:r>
      <w:r>
        <w:rPr>
          <w:rFonts w:asciiTheme="minorHAnsi" w:hAnsiTheme="minorHAnsi"/>
          <w:sz w:val="22"/>
          <w:szCs w:val="22"/>
          <w:lang w:val="sr-Cyrl-BA"/>
        </w:rPr>
        <w:t>чедрдесетдевет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) </w:t>
      </w:r>
      <w:r>
        <w:rPr>
          <w:rFonts w:asciiTheme="minorHAnsi" w:hAnsiTheme="minorHAnsi"/>
          <w:sz w:val="22"/>
          <w:szCs w:val="22"/>
          <w:lang w:val="sr-Cyrl-CS"/>
        </w:rPr>
        <w:t>сједница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од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чега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201</w:t>
      </w:r>
      <w:r w:rsidR="00C87056" w:rsidRPr="00C209BF">
        <w:rPr>
          <w:rFonts w:asciiTheme="minorHAnsi" w:hAnsiTheme="minorHAnsi"/>
          <w:sz w:val="22"/>
          <w:szCs w:val="22"/>
        </w:rPr>
        <w:t>5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години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одржала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E06804" w:rsidRPr="00C209BF">
        <w:rPr>
          <w:rFonts w:asciiTheme="minorHAnsi" w:hAnsiTheme="minorHAnsi"/>
          <w:sz w:val="22"/>
          <w:szCs w:val="22"/>
          <w:lang w:val="sr-Cyrl-BA"/>
        </w:rPr>
        <w:t>42 (</w:t>
      </w:r>
      <w:r>
        <w:rPr>
          <w:rFonts w:asciiTheme="minorHAnsi" w:hAnsiTheme="minorHAnsi"/>
          <w:sz w:val="22"/>
          <w:szCs w:val="22"/>
          <w:lang w:val="sr-Cyrl-BA"/>
        </w:rPr>
        <w:t>четрдесетдвије</w:t>
      </w:r>
      <w:r w:rsidR="00E06804" w:rsidRPr="00C209BF">
        <w:rPr>
          <w:rFonts w:asciiTheme="minorHAnsi" w:hAnsiTheme="minorHAnsi"/>
          <w:sz w:val="22"/>
          <w:szCs w:val="22"/>
          <w:lang w:val="sr-Cyrl-BA"/>
        </w:rPr>
        <w:t xml:space="preserve">) </w:t>
      </w:r>
      <w:r>
        <w:rPr>
          <w:rFonts w:asciiTheme="minorHAnsi" w:hAnsiTheme="minorHAnsi"/>
          <w:sz w:val="22"/>
          <w:szCs w:val="22"/>
          <w:lang w:val="sr-Cyrl-BA"/>
        </w:rPr>
        <w:t>сједнице</w:t>
      </w:r>
      <w:r w:rsidR="00EB232B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EB232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</w:t>
      </w:r>
      <w:r w:rsidR="00EB232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CC07F8" w:rsidRPr="00C209BF">
        <w:rPr>
          <w:rFonts w:asciiTheme="minorHAnsi" w:hAnsiTheme="minorHAnsi"/>
          <w:sz w:val="22"/>
          <w:szCs w:val="22"/>
          <w:lang w:val="sr-Cyrl-BA"/>
        </w:rPr>
        <w:t xml:space="preserve">27 </w:t>
      </w:r>
      <w:r>
        <w:rPr>
          <w:rFonts w:asciiTheme="minorHAnsi" w:hAnsiTheme="minorHAnsi"/>
          <w:sz w:val="22"/>
          <w:szCs w:val="22"/>
          <w:lang w:val="sr-Cyrl-BA"/>
        </w:rPr>
        <w:t>сједница</w:t>
      </w:r>
      <w:r w:rsidR="00CC07F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CC07F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Старом</w:t>
      </w:r>
      <w:r w:rsidR="00CC07F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сазиву</w:t>
      </w:r>
      <w:r w:rsidR="000106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010638">
        <w:rPr>
          <w:rFonts w:asciiTheme="minorHAnsi" w:hAnsiTheme="minorHAnsi"/>
          <w:sz w:val="22"/>
          <w:szCs w:val="22"/>
          <w:lang w:val="sr-Cyrl-BA"/>
        </w:rPr>
        <w:t xml:space="preserve"> 15 </w:t>
      </w:r>
      <w:r>
        <w:rPr>
          <w:rFonts w:asciiTheme="minorHAnsi" w:hAnsiTheme="minorHAnsi"/>
          <w:sz w:val="22"/>
          <w:szCs w:val="22"/>
          <w:lang w:val="sr-Cyrl-BA"/>
        </w:rPr>
        <w:t>сједница</w:t>
      </w:r>
      <w:r w:rsidR="000106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0106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Новом</w:t>
      </w:r>
      <w:r w:rsidR="000106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сазиву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>.</w:t>
      </w:r>
      <w:r w:rsidR="00415BFE" w:rsidRPr="00C209BF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  <w:lang w:val="sr-Cyrl-CS"/>
        </w:rPr>
        <w:t>Активности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Комисије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сједницама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биле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усмјерене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867E96" w:rsidRPr="00C209BF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рјешавањ</w:t>
      </w:r>
      <w:r>
        <w:rPr>
          <w:rFonts w:asciiTheme="minorHAnsi" w:hAnsiTheme="minorHAnsi"/>
          <w:sz w:val="22"/>
          <w:szCs w:val="22"/>
        </w:rPr>
        <w:t>е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захтјева</w:t>
      </w:r>
      <w:r w:rsidR="00867E96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о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давању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Студије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економске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оправданости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давању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документацију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јавно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надметање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давању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приједлога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рјешења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избору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најповољнијег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понуђача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додјели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отварање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вредновање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приспјелих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понуда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јавном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позиву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додјелу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, 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давању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Приједлог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концесији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анексе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концесији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давању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уступање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концесији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промјену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власничке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структуре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Концесионару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складу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867E96" w:rsidRPr="002419AA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Законом</w:t>
      </w:r>
      <w:r w:rsidR="00867E96" w:rsidRPr="002419AA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и</w:t>
      </w:r>
      <w:r w:rsidR="00867E96" w:rsidRPr="002419AA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Правилником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као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давањ</w:t>
      </w:r>
      <w:r>
        <w:rPr>
          <w:rFonts w:asciiTheme="minorHAnsi" w:hAnsiTheme="minorHAnsi"/>
          <w:sz w:val="22"/>
          <w:szCs w:val="22"/>
          <w:lang w:val="sr-Cyrl-CS"/>
        </w:rPr>
        <w:t>е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мишљења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кој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према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Комисији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складу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прописаним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процедурама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упутила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ресорна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</w:t>
      </w:r>
      <w:r>
        <w:rPr>
          <w:rFonts w:asciiTheme="minorHAnsi" w:hAnsiTheme="minorHAnsi"/>
          <w:sz w:val="22"/>
          <w:szCs w:val="22"/>
          <w:lang w:val="sr-Cyrl-CS"/>
        </w:rPr>
        <w:t>инистарства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Latn-BA"/>
        </w:rPr>
        <w:t>К</w:t>
      </w:r>
      <w:r>
        <w:rPr>
          <w:rFonts w:asciiTheme="minorHAnsi" w:hAnsiTheme="minorHAnsi"/>
          <w:sz w:val="22"/>
          <w:szCs w:val="22"/>
          <w:lang w:val="sr-Cyrl-BA"/>
        </w:rPr>
        <w:t>онцесионари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друге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институције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те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правна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физичка</w:t>
      </w:r>
      <w:r w:rsidR="00867E96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лица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разматрање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извјештаја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извршених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провјера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рада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К</w:t>
      </w:r>
      <w:r>
        <w:rPr>
          <w:rFonts w:asciiTheme="minorHAnsi" w:hAnsiTheme="minorHAnsi"/>
          <w:sz w:val="22"/>
          <w:szCs w:val="22"/>
          <w:lang w:val="sr-Cyrl-CS"/>
        </w:rPr>
        <w:t>онцесионара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израда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општих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аката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Комисије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складу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новим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Законом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концесијама</w:t>
      </w:r>
      <w:r w:rsidR="00867E96" w:rsidRPr="002419AA">
        <w:rPr>
          <w:rFonts w:asciiTheme="minorHAnsi" w:hAnsiTheme="minorHAnsi"/>
          <w:sz w:val="22"/>
          <w:szCs w:val="22"/>
          <w:lang w:val="sr-Cyrl-CS"/>
        </w:rPr>
        <w:t xml:space="preserve">. </w:t>
      </w:r>
    </w:p>
    <w:p w:rsidR="008F078B" w:rsidRPr="00C209BF" w:rsidRDefault="00DD65E6" w:rsidP="008F078B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Cyrl-CS"/>
        </w:rPr>
        <w:t>У</w:t>
      </w:r>
      <w:r w:rsidR="008F078B" w:rsidRPr="00C209BF">
        <w:rPr>
          <w:rFonts w:asciiTheme="minorHAnsi" w:hAnsiTheme="minorHAnsi"/>
          <w:sz w:val="22"/>
          <w:szCs w:val="22"/>
          <w:lang w:val="sr-Cyrl-CS"/>
        </w:rPr>
        <w:t xml:space="preserve">  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>2015</w:t>
      </w:r>
      <w:r w:rsidR="008F078B" w:rsidRPr="00C209BF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год</w:t>
      </w:r>
      <w:r>
        <w:rPr>
          <w:rFonts w:asciiTheme="minorHAnsi" w:hAnsiTheme="minorHAnsi"/>
          <w:sz w:val="22"/>
          <w:szCs w:val="22"/>
          <w:lang w:val="sr-Cyrl-BA"/>
        </w:rPr>
        <w:t>ини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стране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ресорних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министарстава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Владе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Latn-BA"/>
        </w:rPr>
        <w:t>К</w:t>
      </w:r>
      <w:r>
        <w:rPr>
          <w:rFonts w:asciiTheme="minorHAnsi" w:hAnsiTheme="minorHAnsi"/>
          <w:sz w:val="22"/>
          <w:szCs w:val="22"/>
          <w:lang w:val="sr-Cyrl-BA"/>
        </w:rPr>
        <w:t>онцесионара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те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значајног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броја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правних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физичких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лица</w:t>
      </w:r>
      <w:r w:rsidR="008F078B" w:rsidRPr="00C209BF">
        <w:rPr>
          <w:rFonts w:asciiTheme="minorHAnsi" w:hAnsiTheme="minorHAnsi"/>
          <w:sz w:val="22"/>
          <w:szCs w:val="22"/>
          <w:lang w:val="sr-Cyrl-BA"/>
        </w:rPr>
        <w:t>,</w:t>
      </w:r>
      <w:r w:rsidR="008F078B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упућен</w:t>
      </w:r>
      <w:r w:rsidR="008F078B" w:rsidRPr="00C209BF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је</w:t>
      </w:r>
      <w:r w:rsidR="008F078B" w:rsidRPr="00C209BF">
        <w:rPr>
          <w:rFonts w:asciiTheme="minorHAnsi" w:hAnsiTheme="minorHAnsi"/>
          <w:sz w:val="22"/>
          <w:szCs w:val="22"/>
          <w:lang w:val="ru-RU"/>
        </w:rPr>
        <w:t xml:space="preserve"> 24</w:t>
      </w:r>
      <w:r w:rsidR="00BE498A">
        <w:rPr>
          <w:rFonts w:asciiTheme="minorHAnsi" w:hAnsiTheme="minorHAnsi"/>
          <w:sz w:val="22"/>
          <w:szCs w:val="22"/>
          <w:lang w:val="ru-RU"/>
        </w:rPr>
        <w:t>1 (</w:t>
      </w:r>
      <w:r>
        <w:rPr>
          <w:rFonts w:asciiTheme="minorHAnsi" w:hAnsiTheme="minorHAnsi"/>
          <w:sz w:val="22"/>
          <w:szCs w:val="22"/>
          <w:lang w:val="ru-RU"/>
        </w:rPr>
        <w:t>двијестотинечетрдесетједан</w:t>
      </w:r>
      <w:r w:rsidR="00BE498A">
        <w:rPr>
          <w:rFonts w:asciiTheme="minorHAnsi" w:hAnsiTheme="minorHAnsi"/>
          <w:sz w:val="22"/>
          <w:szCs w:val="22"/>
          <w:lang w:val="ru-RU"/>
        </w:rPr>
        <w:t xml:space="preserve">), </w:t>
      </w:r>
      <w:r w:rsidR="008F078B" w:rsidRPr="00C209BF">
        <w:rPr>
          <w:rFonts w:asciiTheme="minorHAnsi" w:hAnsiTheme="minorHAnsi"/>
          <w:sz w:val="22"/>
          <w:szCs w:val="22"/>
          <w:lang w:val="ru-RU"/>
        </w:rPr>
        <w:t>(154</w:t>
      </w:r>
      <w:r w:rsidR="003E59E7" w:rsidRPr="00C209BF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у</w:t>
      </w:r>
      <w:r w:rsidR="003E59E7" w:rsidRPr="00C209BF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Старом</w:t>
      </w:r>
      <w:r w:rsidR="003E59E7" w:rsidRPr="00C209BF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сазиву</w:t>
      </w:r>
      <w:r w:rsidR="003E59E7" w:rsidRPr="00C209BF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</w:t>
      </w:r>
      <w:r w:rsidR="003E59E7" w:rsidRPr="00C209BF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F078B" w:rsidRPr="00C209BF">
        <w:rPr>
          <w:rFonts w:asciiTheme="minorHAnsi" w:hAnsiTheme="minorHAnsi"/>
          <w:sz w:val="22"/>
          <w:szCs w:val="22"/>
          <w:lang w:val="ru-RU"/>
        </w:rPr>
        <w:t>87</w:t>
      </w:r>
      <w:r w:rsidR="003E59E7" w:rsidRPr="00C209BF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у</w:t>
      </w:r>
      <w:r w:rsidR="003E59E7" w:rsidRPr="00C209BF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Новом</w:t>
      </w:r>
      <w:r w:rsidR="003E59E7" w:rsidRPr="00C209BF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сазиву</w:t>
      </w:r>
      <w:r w:rsidR="003E59E7" w:rsidRPr="00C209BF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F078B" w:rsidRPr="00C209BF">
        <w:rPr>
          <w:rFonts w:asciiTheme="minorHAnsi" w:hAnsiTheme="minorHAnsi"/>
          <w:sz w:val="22"/>
          <w:szCs w:val="22"/>
          <w:lang w:val="ru-RU"/>
        </w:rPr>
        <w:t xml:space="preserve">) </w:t>
      </w:r>
      <w:r>
        <w:rPr>
          <w:rFonts w:asciiTheme="minorHAnsi" w:hAnsiTheme="minorHAnsi"/>
          <w:sz w:val="22"/>
          <w:szCs w:val="22"/>
          <w:lang w:val="ru-RU"/>
        </w:rPr>
        <w:t>захтјев</w:t>
      </w:r>
      <w:r w:rsidR="008F078B" w:rsidRPr="00C209BF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8F078B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након</w:t>
      </w:r>
      <w:r w:rsidR="008F078B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њихове</w:t>
      </w:r>
      <w:r w:rsidR="008F078B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анализе</w:t>
      </w:r>
      <w:r w:rsidR="008F078B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8F078B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разматрања</w:t>
      </w:r>
      <w:r w:rsidR="008F078B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Комисија</w:t>
      </w:r>
      <w:r w:rsidR="008F078B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8F078B" w:rsidRPr="00C209BF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донијела</w:t>
      </w:r>
      <w:r w:rsidR="008F078B" w:rsidRPr="00C209BF">
        <w:rPr>
          <w:rFonts w:asciiTheme="minorHAnsi" w:hAnsiTheme="minorHAnsi"/>
          <w:sz w:val="22"/>
          <w:szCs w:val="22"/>
          <w:lang w:val="sr-Cyrl-CS"/>
        </w:rPr>
        <w:t>:</w:t>
      </w:r>
    </w:p>
    <w:p w:rsidR="008F078B" w:rsidRPr="00E4318B" w:rsidRDefault="008F078B" w:rsidP="00B21446">
      <w:pPr>
        <w:pStyle w:val="ListParagraph"/>
        <w:numPr>
          <w:ilvl w:val="0"/>
          <w:numId w:val="18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5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  </w:t>
      </w:r>
      <w:r w:rsidR="00DD65E6">
        <w:rPr>
          <w:rFonts w:asciiTheme="minorHAnsi" w:eastAsiaTheme="minorHAnsi" w:hAnsiTheme="minorHAnsi"/>
          <w:sz w:val="22"/>
          <w:szCs w:val="22"/>
        </w:rPr>
        <w:t>р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јешења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давању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сагласности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на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тудију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економске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оправданости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>;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(4</w:t>
      </w:r>
      <w:r w:rsidR="003E59E7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Стари</w:t>
      </w:r>
      <w:r w:rsidR="003E59E7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25132D" w:rsidRPr="00E4318B">
        <w:rPr>
          <w:rFonts w:asciiTheme="minorHAnsi" w:eastAsiaTheme="minorHAnsi" w:hAnsiTheme="minorHAnsi"/>
          <w:sz w:val="22"/>
          <w:szCs w:val="22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+</w:t>
      </w:r>
      <w:r w:rsidR="0025132D" w:rsidRPr="00E4318B">
        <w:rPr>
          <w:rFonts w:asciiTheme="minorHAnsi" w:eastAsiaTheme="minorHAnsi" w:hAnsiTheme="minorHAnsi"/>
          <w:sz w:val="22"/>
          <w:szCs w:val="22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1</w:t>
      </w:r>
      <w:r w:rsidR="003E59E7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Нови</w:t>
      </w:r>
      <w:r w:rsidR="003E59E7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3E59E7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Комисије</w:t>
      </w:r>
      <w:r w:rsidR="003E59E7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)</w:t>
      </w:r>
    </w:p>
    <w:p w:rsidR="008F078B" w:rsidRPr="00E4318B" w:rsidRDefault="008F078B" w:rsidP="00B21446">
      <w:pPr>
        <w:pStyle w:val="ListParagraph"/>
        <w:numPr>
          <w:ilvl w:val="0"/>
          <w:numId w:val="18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16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 </w:t>
      </w:r>
      <w:r w:rsidR="00DD65E6">
        <w:rPr>
          <w:rFonts w:asciiTheme="minorHAnsi" w:eastAsiaTheme="minorHAnsi" w:hAnsiTheme="minorHAnsi"/>
          <w:sz w:val="22"/>
          <w:szCs w:val="22"/>
        </w:rPr>
        <w:t>р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јешења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давању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сагласности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на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Д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окументацију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за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јавно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надметање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>;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(14</w:t>
      </w:r>
      <w:r w:rsidR="003E59E7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Стари</w:t>
      </w:r>
      <w:r w:rsidR="003E59E7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9E2769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+</w:t>
      </w:r>
      <w:r w:rsidR="009E2769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2</w:t>
      </w:r>
      <w:r w:rsidR="003E59E7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Нови</w:t>
      </w:r>
      <w:r w:rsidR="003E59E7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3E59E7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комисије</w:t>
      </w:r>
      <w:r w:rsidR="003E59E7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)</w:t>
      </w:r>
    </w:p>
    <w:p w:rsidR="008F078B" w:rsidRPr="00E4318B" w:rsidRDefault="00DD65E6" w:rsidP="00B21446">
      <w:pPr>
        <w:pStyle w:val="ListParagraph"/>
        <w:numPr>
          <w:ilvl w:val="0"/>
          <w:numId w:val="18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Latn-BA"/>
        </w:rPr>
        <w:t>Рјешењ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е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одобравању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Јавног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позива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за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додјелу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концесије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>;</w:t>
      </w:r>
      <w:r w:rsidR="009E2769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Стари</w:t>
      </w:r>
      <w:r w:rsidR="003E59E7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8F078B" w:rsidRPr="00E4318B">
        <w:rPr>
          <w:rFonts w:asciiTheme="minorHAnsi" w:eastAsiaTheme="minorHAnsi" w:hAnsiTheme="minorHAnsi"/>
          <w:sz w:val="22"/>
          <w:szCs w:val="22"/>
          <w:lang w:val="sr-Cyrl-BA"/>
        </w:rPr>
        <w:t>)</w:t>
      </w:r>
    </w:p>
    <w:p w:rsidR="008F078B" w:rsidRPr="00E4318B" w:rsidRDefault="008F078B" w:rsidP="00B21446">
      <w:pPr>
        <w:pStyle w:val="ListParagraph"/>
        <w:numPr>
          <w:ilvl w:val="0"/>
          <w:numId w:val="18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>1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2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</w:rPr>
        <w:t>п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риједлога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рјешења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Влади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Републике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Српске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избору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најповољнијег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понуђача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у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додјели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концесије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>;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(6</w:t>
      </w:r>
      <w:r w:rsidR="00350433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Стари</w:t>
      </w:r>
      <w:r w:rsidR="00350433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9E2769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+</w:t>
      </w:r>
      <w:r w:rsidR="009E2769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6</w:t>
      </w:r>
      <w:r w:rsidR="00350433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Нови</w:t>
      </w:r>
      <w:r w:rsidR="00350433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)</w:t>
      </w:r>
    </w:p>
    <w:p w:rsidR="008F078B" w:rsidRPr="00E4318B" w:rsidRDefault="008F078B" w:rsidP="00B21446">
      <w:pPr>
        <w:pStyle w:val="ListParagraph"/>
        <w:numPr>
          <w:ilvl w:val="0"/>
          <w:numId w:val="18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5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 </w:t>
      </w:r>
      <w:r w:rsidR="00DD65E6">
        <w:rPr>
          <w:rFonts w:asciiTheme="minorHAnsi" w:eastAsiaTheme="minorHAnsi" w:hAnsiTheme="minorHAnsi"/>
          <w:sz w:val="22"/>
          <w:szCs w:val="22"/>
        </w:rPr>
        <w:t>р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јешења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давању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сагласности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за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закључење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уговора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концесији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>;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(2</w:t>
      </w:r>
      <w:r w:rsidR="00EE7C93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Стари</w:t>
      </w:r>
      <w:r w:rsidR="00EE7C93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EE7C93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+</w:t>
      </w:r>
      <w:r w:rsidR="009E2769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3</w:t>
      </w:r>
      <w:r w:rsidR="00EE7C93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Нови</w:t>
      </w:r>
      <w:r w:rsidR="00EE7C93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EE7C93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Комисије</w:t>
      </w:r>
      <w:r w:rsidR="00EE7C93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)</w:t>
      </w:r>
    </w:p>
    <w:p w:rsidR="008F078B" w:rsidRPr="00E4318B" w:rsidRDefault="008F078B" w:rsidP="00B21446">
      <w:pPr>
        <w:pStyle w:val="ListParagraph"/>
        <w:numPr>
          <w:ilvl w:val="0"/>
          <w:numId w:val="18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12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</w:rPr>
        <w:t>р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јешењ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давању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претходне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сагласности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на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Приједлог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уговора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концесији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>;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(7</w:t>
      </w:r>
      <w:r w:rsidR="003C3BFD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Стари</w:t>
      </w:r>
      <w:r w:rsidR="003C3BFD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9E2769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+</w:t>
      </w:r>
      <w:r w:rsidR="009E2769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5</w:t>
      </w:r>
      <w:r w:rsidR="003C3BFD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Нови</w:t>
      </w:r>
      <w:r w:rsidR="003C3BFD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3C3BFD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Комисије</w:t>
      </w:r>
      <w:r w:rsidR="003C3BFD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)</w:t>
      </w:r>
    </w:p>
    <w:p w:rsidR="003C3BFD" w:rsidRPr="00E4318B" w:rsidRDefault="00DD65E6" w:rsidP="00B21446">
      <w:pPr>
        <w:pStyle w:val="ListParagraph"/>
        <w:numPr>
          <w:ilvl w:val="0"/>
          <w:numId w:val="18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Latn-BA"/>
        </w:rPr>
        <w:t>Рјешење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одбијању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захтјева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за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давање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сагласности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на</w:t>
      </w:r>
      <w:r w:rsidR="008F078B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Студију</w:t>
      </w:r>
      <w:r w:rsidR="008F078B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економске</w:t>
      </w:r>
      <w:r w:rsidR="008F078B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оправданости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>;</w:t>
      </w:r>
      <w:r w:rsidR="008F078B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(1</w:t>
      </w:r>
      <w:r w:rsidR="003C3BFD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Стари</w:t>
      </w:r>
      <w:r w:rsidR="003C3BFD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)</w:t>
      </w:r>
      <w:r w:rsidR="003C3BFD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</w:p>
    <w:p w:rsidR="008F078B" w:rsidRPr="00E4318B" w:rsidRDefault="008F078B" w:rsidP="00B21446">
      <w:pPr>
        <w:pStyle w:val="ListParagraph"/>
        <w:numPr>
          <w:ilvl w:val="0"/>
          <w:numId w:val="18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23  </w:t>
      </w:r>
      <w:r w:rsidR="00DD65E6">
        <w:rPr>
          <w:rFonts w:asciiTheme="minorHAnsi" w:eastAsiaTheme="minorHAnsi" w:hAnsiTheme="minorHAnsi"/>
          <w:sz w:val="22"/>
          <w:szCs w:val="22"/>
        </w:rPr>
        <w:t>р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јешења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давању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сагласности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на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анексе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уговора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концесији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>;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(13</w:t>
      </w:r>
      <w:r w:rsidR="0016415A" w:rsidRPr="00E4318B">
        <w:rPr>
          <w:rFonts w:asciiTheme="minorHAnsi" w:eastAsiaTheme="minorHAnsi" w:hAnsiTheme="minorHAnsi"/>
          <w:sz w:val="22"/>
          <w:szCs w:val="22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Стари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BA0754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+</w:t>
      </w:r>
      <w:r w:rsidR="00BA0754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10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Нови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Комисије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)</w:t>
      </w:r>
    </w:p>
    <w:p w:rsidR="008F078B" w:rsidRPr="00E4318B" w:rsidRDefault="008F078B" w:rsidP="00B21446">
      <w:pPr>
        <w:pStyle w:val="ListParagraph"/>
        <w:numPr>
          <w:ilvl w:val="0"/>
          <w:numId w:val="18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5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 </w:t>
      </w:r>
      <w:r w:rsidR="00DD65E6">
        <w:rPr>
          <w:rFonts w:asciiTheme="minorHAnsi" w:eastAsiaTheme="minorHAnsi" w:hAnsiTheme="minorHAnsi"/>
          <w:sz w:val="22"/>
          <w:szCs w:val="22"/>
        </w:rPr>
        <w:t>р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јешења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давању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сагласности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на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уступање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уговора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концесији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и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промјену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власничке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структуре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у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К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онцесионару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>;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(4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Стари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BA0754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+</w:t>
      </w:r>
      <w:r w:rsidR="00BA0754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1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Нови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Комисије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)</w:t>
      </w:r>
    </w:p>
    <w:p w:rsidR="008F078B" w:rsidRPr="00E4318B" w:rsidRDefault="00DD65E6" w:rsidP="00B21446">
      <w:pPr>
        <w:pStyle w:val="ListParagraph"/>
        <w:numPr>
          <w:ilvl w:val="0"/>
          <w:numId w:val="18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Cyrl-BA"/>
        </w:rPr>
        <w:t>Закључак</w:t>
      </w:r>
      <w:r w:rsidR="008F078B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Комисије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к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ојим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се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одбацује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понуда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на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Јавни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позив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>;</w:t>
      </w:r>
      <w:r w:rsidR="00BA0754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Стари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>)</w:t>
      </w:r>
    </w:p>
    <w:p w:rsidR="008F078B" w:rsidRPr="00E4318B" w:rsidRDefault="00DD65E6" w:rsidP="00B21446">
      <w:pPr>
        <w:pStyle w:val="ListParagraph"/>
        <w:numPr>
          <w:ilvl w:val="0"/>
          <w:numId w:val="18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Cyrl-BA"/>
        </w:rPr>
        <w:t>Закључка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Комисије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враћању</w:t>
      </w:r>
      <w:r w:rsidR="008F078B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Студија</w:t>
      </w:r>
      <w:r w:rsidR="008F078B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економске</w:t>
      </w:r>
      <w:r w:rsidR="008F078B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оправданости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>;</w:t>
      </w:r>
      <w:r w:rsidR="00BA0754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Стари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>)</w:t>
      </w:r>
    </w:p>
    <w:p w:rsidR="008F078B" w:rsidRPr="00E4318B" w:rsidRDefault="00DD65E6" w:rsidP="00B21446">
      <w:pPr>
        <w:pStyle w:val="ListParagraph"/>
        <w:numPr>
          <w:ilvl w:val="0"/>
          <w:numId w:val="18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Latn-BA"/>
        </w:rPr>
        <w:t>Рјешења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о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давању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сагласности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за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вођење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преговора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са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понуђачима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>;</w:t>
      </w:r>
      <w:r w:rsidR="008807E4">
        <w:rPr>
          <w:rFonts w:asciiTheme="minorHAnsi" w:eastAsia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Нови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8F078B" w:rsidRPr="00E4318B">
        <w:rPr>
          <w:rFonts w:asciiTheme="minorHAnsi" w:eastAsiaTheme="minorHAnsi" w:hAnsiTheme="minorHAnsi"/>
          <w:sz w:val="22"/>
          <w:szCs w:val="22"/>
          <w:lang w:val="sr-Cyrl-BA"/>
        </w:rPr>
        <w:t>)</w:t>
      </w:r>
    </w:p>
    <w:p w:rsidR="008F078B" w:rsidRPr="00E4318B" w:rsidRDefault="00DD65E6" w:rsidP="00B21446">
      <w:pPr>
        <w:pStyle w:val="ListParagraph"/>
        <w:numPr>
          <w:ilvl w:val="0"/>
          <w:numId w:val="18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>
        <w:rPr>
          <w:rFonts w:asciiTheme="minorHAnsi" w:eastAsiaTheme="minorHAnsi" w:hAnsiTheme="minorHAnsi"/>
          <w:sz w:val="22"/>
          <w:szCs w:val="22"/>
          <w:lang w:val="sr-Latn-BA"/>
        </w:rPr>
        <w:t>Непотпун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предмет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је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враћен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на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допуну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и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Latn-BA"/>
        </w:rPr>
        <w:t>дораду</w:t>
      </w:r>
      <w:r w:rsidR="008F078B" w:rsidRPr="00E4318B">
        <w:rPr>
          <w:rFonts w:asciiTheme="minorHAnsi" w:eastAsiaTheme="minorHAnsi" w:hAnsiTheme="minorHAnsi"/>
          <w:sz w:val="22"/>
          <w:szCs w:val="22"/>
          <w:lang w:val="sr-Latn-BA"/>
        </w:rPr>
        <w:t>;</w:t>
      </w:r>
      <w:r w:rsidR="00BA0754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Стари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>)</w:t>
      </w:r>
    </w:p>
    <w:p w:rsidR="008F078B" w:rsidRPr="00E4318B" w:rsidRDefault="008F078B" w:rsidP="00B21446">
      <w:pPr>
        <w:pStyle w:val="ListParagraph"/>
        <w:numPr>
          <w:ilvl w:val="0"/>
          <w:numId w:val="18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>1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5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 </w:t>
      </w:r>
      <w:r w:rsidR="00DD65E6">
        <w:rPr>
          <w:rFonts w:asciiTheme="minorHAnsi" w:eastAsiaTheme="minorHAnsi" w:hAnsiTheme="minorHAnsi"/>
          <w:sz w:val="22"/>
          <w:szCs w:val="22"/>
        </w:rPr>
        <w:t>м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ишљења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која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су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тражена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од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стране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министарстава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,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правних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и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физичких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лица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>;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(12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Стари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BA0754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+</w:t>
      </w:r>
      <w:r w:rsidR="00BA0754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3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Нови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)</w:t>
      </w:r>
    </w:p>
    <w:p w:rsidR="008F078B" w:rsidRPr="00E4318B" w:rsidRDefault="008F078B" w:rsidP="00B21446">
      <w:pPr>
        <w:pStyle w:val="ListParagraph"/>
        <w:numPr>
          <w:ilvl w:val="0"/>
          <w:numId w:val="18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>7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6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 </w:t>
      </w:r>
      <w:r w:rsidR="00DD65E6">
        <w:rPr>
          <w:rFonts w:asciiTheme="minorHAnsi" w:eastAsiaTheme="minorHAnsi" w:hAnsiTheme="minorHAnsi"/>
          <w:sz w:val="22"/>
          <w:szCs w:val="22"/>
        </w:rPr>
        <w:t>о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дговора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на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разне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упите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од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стране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ресорних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министарстава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,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правних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и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физичких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лица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>;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(52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Стари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BA0754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+</w:t>
      </w:r>
      <w:r w:rsidR="00BA0754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24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Нови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)</w:t>
      </w:r>
    </w:p>
    <w:p w:rsidR="00F405D3" w:rsidRPr="00F405D3" w:rsidRDefault="008F078B" w:rsidP="00B21446">
      <w:pPr>
        <w:pStyle w:val="ListParagraph"/>
        <w:numPr>
          <w:ilvl w:val="0"/>
          <w:numId w:val="18"/>
        </w:numPr>
        <w:rPr>
          <w:rFonts w:asciiTheme="minorHAnsi" w:eastAsiaTheme="minorHAnsi" w:hAnsiTheme="minorHAnsi"/>
          <w:sz w:val="22"/>
          <w:szCs w:val="22"/>
          <w:lang w:val="sr-Latn-BA"/>
        </w:rPr>
      </w:pP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64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 </w:t>
      </w:r>
      <w:r w:rsidR="00DD65E6">
        <w:rPr>
          <w:rFonts w:asciiTheme="minorHAnsi" w:eastAsiaTheme="minorHAnsi" w:hAnsiTheme="minorHAnsi"/>
          <w:sz w:val="22"/>
          <w:szCs w:val="22"/>
        </w:rPr>
        <w:t>и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нтерн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е</w:t>
      </w:r>
      <w:r w:rsidRPr="00E4318B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</w:rPr>
        <w:t>о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длук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е</w:t>
      </w:r>
      <w:r w:rsidR="008807E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Комисије</w:t>
      </w:r>
      <w:r w:rsidR="008807E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за</w:t>
      </w:r>
      <w:r w:rsidR="008807E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Latn-BA"/>
        </w:rPr>
        <w:t>концесије</w:t>
      </w:r>
      <w:r w:rsidR="008807E4">
        <w:rPr>
          <w:rFonts w:asciiTheme="minorHAnsi" w:eastAsiaTheme="minorHAnsi" w:hAnsiTheme="minorHAnsi"/>
          <w:sz w:val="22"/>
          <w:szCs w:val="22"/>
        </w:rPr>
        <w:t>;</w:t>
      </w:r>
      <w:r w:rsidR="008807E4">
        <w:rPr>
          <w:rFonts w:asciiTheme="minorHAnsi" w:eastAsiaTheme="minorHAnsi" w:hAnsiTheme="minorHAnsi"/>
          <w:sz w:val="22"/>
          <w:szCs w:val="22"/>
          <w:lang w:val="sr-Latn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(34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Стари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+</w:t>
      </w:r>
      <w:r w:rsidR="00BA0754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30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Нови</w:t>
      </w:r>
      <w:r w:rsidR="0016415A" w:rsidRPr="00E4318B">
        <w:rPr>
          <w:rFonts w:asciiTheme="minorHAnsi" w:eastAsia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eastAsiaTheme="minorHAnsi" w:hAnsiTheme="minorHAnsi"/>
          <w:sz w:val="22"/>
          <w:szCs w:val="22"/>
          <w:lang w:val="sr-Cyrl-BA"/>
        </w:rPr>
        <w:t>сазив</w:t>
      </w:r>
      <w:r w:rsidRPr="00E4318B">
        <w:rPr>
          <w:rFonts w:asciiTheme="minorHAnsi" w:eastAsiaTheme="minorHAnsi" w:hAnsiTheme="minorHAnsi"/>
          <w:sz w:val="22"/>
          <w:szCs w:val="22"/>
          <w:lang w:val="sr-Cyrl-BA"/>
        </w:rPr>
        <w:t>)</w:t>
      </w:r>
    </w:p>
    <w:p w:rsidR="00F405D3" w:rsidRDefault="00F405D3" w:rsidP="00F405D3">
      <w:pPr>
        <w:rPr>
          <w:rFonts w:asciiTheme="minorHAnsi" w:eastAsiaTheme="minorHAnsi" w:hAnsiTheme="minorHAnsi"/>
          <w:sz w:val="22"/>
          <w:szCs w:val="22"/>
          <w:lang w:val="sr-Cyrl-BA"/>
        </w:rPr>
      </w:pPr>
    </w:p>
    <w:p w:rsidR="0074522E" w:rsidRDefault="0074522E" w:rsidP="00F405D3">
      <w:pPr>
        <w:rPr>
          <w:rFonts w:asciiTheme="minorHAnsi" w:eastAsiaTheme="minorHAnsi" w:hAnsiTheme="minorHAnsi"/>
          <w:sz w:val="22"/>
          <w:szCs w:val="22"/>
          <w:lang w:val="sr-Cyrl-BA"/>
        </w:rPr>
      </w:pPr>
    </w:p>
    <w:p w:rsidR="0074522E" w:rsidRDefault="0074522E" w:rsidP="00F405D3">
      <w:pPr>
        <w:rPr>
          <w:rFonts w:asciiTheme="minorHAnsi" w:eastAsiaTheme="minorHAnsi" w:hAnsiTheme="minorHAnsi"/>
          <w:sz w:val="22"/>
          <w:szCs w:val="22"/>
          <w:lang w:val="sr-Cyrl-BA"/>
        </w:rPr>
      </w:pPr>
    </w:p>
    <w:p w:rsidR="0074522E" w:rsidRDefault="0074522E" w:rsidP="00F405D3">
      <w:pPr>
        <w:rPr>
          <w:rFonts w:asciiTheme="minorHAnsi" w:eastAsiaTheme="minorHAnsi" w:hAnsiTheme="minorHAnsi"/>
          <w:sz w:val="22"/>
          <w:szCs w:val="22"/>
          <w:lang w:val="sr-Cyrl-BA"/>
        </w:rPr>
      </w:pPr>
    </w:p>
    <w:p w:rsidR="00100274" w:rsidRPr="00100274" w:rsidRDefault="00100274" w:rsidP="00100274">
      <w:pPr>
        <w:rPr>
          <w:rFonts w:asciiTheme="minorHAnsi" w:eastAsiaTheme="minorHAnsi" w:hAnsiTheme="minorHAnsi"/>
          <w:sz w:val="22"/>
          <w:szCs w:val="22"/>
          <w:lang w:val="sr-Cyrl-RS"/>
        </w:rPr>
      </w:pPr>
      <w:r w:rsidRPr="00100274">
        <w:rPr>
          <w:rFonts w:asciiTheme="minorHAnsi" w:eastAsiaTheme="minorHAnsi" w:hAnsiTheme="minorHAnsi"/>
          <w:sz w:val="22"/>
          <w:szCs w:val="22"/>
          <w:lang w:val="sr-Cyrl-RS"/>
        </w:rPr>
        <w:lastRenderedPageBreak/>
        <w:t>Структура ријешених предмета приказана је у графикону бр.1.</w:t>
      </w:r>
    </w:p>
    <w:p w:rsidR="00100274" w:rsidRDefault="00100274" w:rsidP="00F405D3">
      <w:pPr>
        <w:rPr>
          <w:rFonts w:asciiTheme="minorHAnsi" w:eastAsiaTheme="minorHAnsi" w:hAnsiTheme="minorHAnsi"/>
          <w:b/>
          <w:sz w:val="22"/>
          <w:szCs w:val="22"/>
        </w:rPr>
      </w:pPr>
    </w:p>
    <w:p w:rsidR="00100274" w:rsidRPr="003954E3" w:rsidRDefault="0074522E" w:rsidP="00100274">
      <w:pPr>
        <w:pStyle w:val="ListParagraph"/>
        <w:numPr>
          <w:ilvl w:val="0"/>
          <w:numId w:val="32"/>
        </w:numPr>
        <w:rPr>
          <w:rFonts w:asciiTheme="minorHAnsi" w:eastAsiaTheme="minorHAnsi" w:hAnsiTheme="minorHAnsi"/>
          <w:b/>
          <w:i/>
          <w:sz w:val="22"/>
          <w:szCs w:val="22"/>
          <w:u w:val="single"/>
          <w:lang w:val="sr-Latn-BA"/>
        </w:rPr>
      </w:pPr>
      <w:r w:rsidRPr="0074522E">
        <w:rPr>
          <w:rFonts w:asciiTheme="minorHAnsi" w:eastAsiaTheme="minorHAnsi" w:hAnsiTheme="minorHAnsi"/>
          <w:b/>
          <w:sz w:val="22"/>
          <w:szCs w:val="22"/>
          <w:lang w:val="sr-Cyrl-BA"/>
        </w:rPr>
        <w:t xml:space="preserve">  </w:t>
      </w:r>
      <w:r w:rsidR="00100274" w:rsidRPr="003954E3">
        <w:rPr>
          <w:rFonts w:asciiTheme="minorHAnsi" w:eastAsiaTheme="minorHAnsi" w:hAnsiTheme="minorHAnsi"/>
          <w:b/>
          <w:i/>
          <w:sz w:val="22"/>
          <w:szCs w:val="22"/>
          <w:u w:val="single"/>
          <w:lang w:val="sr-Cyrl-RS"/>
        </w:rPr>
        <w:t>Графикон</w:t>
      </w:r>
    </w:p>
    <w:p w:rsidR="00100274" w:rsidRDefault="00100274" w:rsidP="00100274">
      <w:pPr>
        <w:pStyle w:val="ListParagraph"/>
        <w:ind w:left="0"/>
        <w:rPr>
          <w:rFonts w:asciiTheme="minorHAnsi" w:eastAsiaTheme="minorHAnsi" w:hAnsiTheme="minorHAnsi"/>
          <w:sz w:val="22"/>
          <w:szCs w:val="22"/>
          <w:lang w:val="sr-Cyrl-RS"/>
        </w:rPr>
      </w:pPr>
      <w:r>
        <w:rPr>
          <w:noProof/>
        </w:rPr>
        <w:drawing>
          <wp:inline distT="0" distB="0" distL="0" distR="0" wp14:anchorId="1E82016C" wp14:editId="7C7D416E">
            <wp:extent cx="5691225" cy="2165300"/>
            <wp:effectExtent l="57150" t="57150" r="43180" b="45085"/>
            <wp:docPr id="2" name="Графикон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0274" w:rsidRPr="00100274" w:rsidRDefault="00100274" w:rsidP="00100274">
      <w:pPr>
        <w:pStyle w:val="Heading2"/>
        <w:jc w:val="both"/>
        <w:rPr>
          <w:rFonts w:asciiTheme="minorHAnsi" w:hAnsiTheme="minorHAnsi"/>
          <w:b w:val="0"/>
          <w:sz w:val="22"/>
          <w:szCs w:val="22"/>
          <w:lang w:val="sr-Cyrl-RS"/>
        </w:rPr>
      </w:pPr>
      <w:r w:rsidRPr="00100274">
        <w:rPr>
          <w:rFonts w:asciiTheme="minorHAnsi" w:hAnsiTheme="minorHAnsi"/>
          <w:b w:val="0"/>
          <w:sz w:val="22"/>
          <w:szCs w:val="22"/>
          <w:lang w:val="sr-Cyrl-RS"/>
        </w:rPr>
        <w:t>Од укупног броја ријешених предмета највећи број је сагласности  које Комисија даје у оквиру своје надлежности. При томе је Комисија највише сагласности дала на анекс уговора, сагласност на јавни позив,  и претходну сагласност на приједлог уговора, као што је приказано  у г</w:t>
      </w:r>
      <w:r w:rsidRPr="00100274">
        <w:rPr>
          <w:rFonts w:asciiTheme="minorHAnsi" w:hAnsiTheme="minorHAnsi"/>
          <w:b w:val="0"/>
          <w:i/>
          <w:sz w:val="22"/>
          <w:szCs w:val="22"/>
          <w:lang w:val="sr-Cyrl-RS"/>
        </w:rPr>
        <w:t>рафикону 2</w:t>
      </w:r>
      <w:r w:rsidRPr="00100274">
        <w:rPr>
          <w:rFonts w:asciiTheme="minorHAnsi" w:hAnsiTheme="minorHAnsi"/>
          <w:b w:val="0"/>
          <w:sz w:val="22"/>
          <w:szCs w:val="22"/>
          <w:lang w:val="sr-Cyrl-RS"/>
        </w:rPr>
        <w:t xml:space="preserve">. Кад су у питању интерне одлуке и одговори Комисије, ради се о приближно једнаком броју, док је број датих мишљења комисије мањи, као што је приказано у </w:t>
      </w:r>
      <w:r w:rsidRPr="00100274">
        <w:rPr>
          <w:rFonts w:asciiTheme="minorHAnsi" w:hAnsiTheme="minorHAnsi"/>
          <w:b w:val="0"/>
          <w:i/>
          <w:sz w:val="22"/>
          <w:szCs w:val="22"/>
          <w:lang w:val="sr-Cyrl-RS"/>
        </w:rPr>
        <w:t>графикону 3</w:t>
      </w:r>
      <w:r w:rsidRPr="00100274">
        <w:rPr>
          <w:rFonts w:asciiTheme="minorHAnsi" w:hAnsiTheme="minorHAnsi"/>
          <w:b w:val="0"/>
          <w:sz w:val="22"/>
          <w:szCs w:val="22"/>
          <w:lang w:val="sr-Cyrl-RS"/>
        </w:rPr>
        <w:t>.</w:t>
      </w:r>
    </w:p>
    <w:p w:rsidR="00100274" w:rsidRDefault="00100274" w:rsidP="00100274">
      <w:pPr>
        <w:rPr>
          <w:lang w:val="sr-Cyrl-RS"/>
        </w:rPr>
      </w:pPr>
      <w:r w:rsidRPr="00DD5839">
        <w:rPr>
          <w:rFonts w:asciiTheme="minorHAnsi" w:eastAsiaTheme="minorHAnsi" w:hAnsiTheme="minorHAnsi"/>
          <w:b/>
          <w:i/>
          <w:sz w:val="22"/>
          <w:szCs w:val="22"/>
          <w:u w:val="single"/>
          <w:lang w:val="sr-Cyrl-RS"/>
        </w:rPr>
        <w:t xml:space="preserve">Графикон </w:t>
      </w:r>
      <w:r>
        <w:rPr>
          <w:rFonts w:asciiTheme="minorHAnsi" w:eastAsiaTheme="minorHAnsi" w:hAnsiTheme="minorHAnsi"/>
          <w:b/>
          <w:i/>
          <w:sz w:val="22"/>
          <w:szCs w:val="22"/>
          <w:u w:val="single"/>
          <w:lang w:val="sr-Cyrl-RS"/>
        </w:rPr>
        <w:t>2</w:t>
      </w:r>
      <w:r w:rsidRPr="00DD5839">
        <w:rPr>
          <w:rFonts w:asciiTheme="minorHAnsi" w:eastAsiaTheme="minorHAnsi" w:hAnsiTheme="minorHAnsi"/>
          <w:b/>
          <w:i/>
          <w:sz w:val="22"/>
          <w:szCs w:val="22"/>
          <w:u w:val="single"/>
          <w:lang w:val="sr-Cyrl-RS"/>
        </w:rPr>
        <w:t>.</w:t>
      </w:r>
      <w:r w:rsidRPr="00C047DE">
        <w:rPr>
          <w:rFonts w:asciiTheme="minorHAnsi" w:eastAsiaTheme="minorHAnsi" w:hAnsiTheme="minorHAnsi"/>
          <w:b/>
          <w:i/>
          <w:sz w:val="22"/>
          <w:szCs w:val="22"/>
          <w:lang w:val="sr-Cyrl-RS"/>
        </w:rPr>
        <w:t xml:space="preserve">                                                                        </w:t>
      </w:r>
      <w:r>
        <w:rPr>
          <w:rFonts w:asciiTheme="minorHAnsi" w:eastAsiaTheme="minorHAnsi" w:hAnsiTheme="minorHAnsi"/>
          <w:b/>
          <w:i/>
          <w:sz w:val="22"/>
          <w:szCs w:val="22"/>
          <w:lang w:val="sr-Cyrl-RS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4417D0" wp14:editId="0B527456">
            <wp:simplePos x="0" y="0"/>
            <wp:positionH relativeFrom="column">
              <wp:posOffset>65405</wp:posOffset>
            </wp:positionH>
            <wp:positionV relativeFrom="paragraph">
              <wp:posOffset>194945</wp:posOffset>
            </wp:positionV>
            <wp:extent cx="2720975" cy="2055495"/>
            <wp:effectExtent l="38100" t="0" r="3175" b="190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/>
          <w:b/>
          <w:i/>
          <w:sz w:val="22"/>
          <w:szCs w:val="22"/>
          <w:lang w:val="sr-Cyrl-RS"/>
        </w:rPr>
        <w:tab/>
        <w:t xml:space="preserve">  </w:t>
      </w:r>
      <w:r>
        <w:rPr>
          <w:lang w:val="sr-Cyrl-RS"/>
        </w:rPr>
        <w:t xml:space="preserve"> </w:t>
      </w:r>
      <w:r w:rsidRPr="00DD5839">
        <w:rPr>
          <w:rFonts w:asciiTheme="minorHAnsi" w:eastAsiaTheme="minorHAnsi" w:hAnsiTheme="minorHAnsi"/>
          <w:b/>
          <w:i/>
          <w:sz w:val="22"/>
          <w:szCs w:val="22"/>
          <w:u w:val="single"/>
          <w:lang w:val="sr-Cyrl-RS"/>
        </w:rPr>
        <w:t>Графикон</w:t>
      </w:r>
      <w:r>
        <w:rPr>
          <w:rFonts w:asciiTheme="minorHAnsi" w:eastAsiaTheme="minorHAnsi" w:hAnsiTheme="minorHAnsi"/>
          <w:b/>
          <w:i/>
          <w:sz w:val="22"/>
          <w:szCs w:val="22"/>
          <w:u w:val="single"/>
          <w:lang w:val="sr-Cyrl-RS"/>
        </w:rPr>
        <w:t xml:space="preserve"> 3.</w:t>
      </w:r>
      <w:r w:rsidRPr="00DD5839">
        <w:rPr>
          <w:rFonts w:asciiTheme="minorHAnsi" w:eastAsiaTheme="minorHAnsi" w:hAnsiTheme="minorHAnsi"/>
          <w:b/>
          <w:i/>
          <w:sz w:val="22"/>
          <w:szCs w:val="22"/>
          <w:u w:val="single"/>
          <w:lang w:val="sr-Cyrl-RS"/>
        </w:rPr>
        <w:t xml:space="preserve"> </w:t>
      </w:r>
      <w:r>
        <w:rPr>
          <w:noProof/>
        </w:rPr>
        <w:drawing>
          <wp:inline distT="0" distB="0" distL="0" distR="0" wp14:anchorId="7545BEC3" wp14:editId="0FB42F89">
            <wp:extent cx="2589581" cy="1806854"/>
            <wp:effectExtent l="0" t="0" r="39370" b="317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lang w:val="sr-Cyrl-RS"/>
        </w:rPr>
        <w:t xml:space="preserve">         </w:t>
      </w:r>
    </w:p>
    <w:p w:rsidR="00100274" w:rsidRDefault="00100274" w:rsidP="00100274">
      <w:pPr>
        <w:spacing w:after="120"/>
        <w:jc w:val="both"/>
        <w:rPr>
          <w:rFonts w:ascii="Cambria" w:hAnsi="Cambria"/>
          <w:b/>
          <w:color w:val="1F497D" w:themeColor="text2"/>
          <w:sz w:val="28"/>
          <w:szCs w:val="28"/>
          <w:lang w:val="sr-Cyrl-BA"/>
        </w:rPr>
      </w:pPr>
    </w:p>
    <w:p w:rsidR="00100274" w:rsidRPr="00100274" w:rsidRDefault="00100274" w:rsidP="00100274">
      <w:pPr>
        <w:jc w:val="both"/>
        <w:rPr>
          <w:rFonts w:asciiTheme="minorHAnsi" w:hAnsiTheme="minorHAnsi"/>
          <w:sz w:val="22"/>
          <w:szCs w:val="22"/>
          <w:lang w:val="sr-Cyrl-BA"/>
        </w:rPr>
      </w:pPr>
      <w:r w:rsidRPr="00100274">
        <w:rPr>
          <w:rFonts w:asciiTheme="minorHAnsi" w:hAnsiTheme="minorHAnsi"/>
          <w:sz w:val="22"/>
          <w:szCs w:val="22"/>
          <w:lang w:val="sr-Cyrl-BA"/>
        </w:rPr>
        <w:t>Комисија за концесије је у складу са својом надлежности на захтјев ресорних министарстава у току 2015. године рјешила укупно 73 захтјева и то из следећих области:</w:t>
      </w:r>
    </w:p>
    <w:p w:rsidR="00100274" w:rsidRPr="00100274" w:rsidRDefault="00100274" w:rsidP="00100274">
      <w:pPr>
        <w:jc w:val="both"/>
        <w:rPr>
          <w:rFonts w:asciiTheme="minorHAnsi" w:hAnsiTheme="minorHAnsi"/>
          <w:sz w:val="22"/>
          <w:szCs w:val="22"/>
          <w:lang w:val="sr-Cyrl-BA"/>
        </w:rPr>
      </w:pPr>
      <w:r w:rsidRPr="00100274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100274">
        <w:rPr>
          <w:rFonts w:asciiTheme="minorHAnsi" w:eastAsiaTheme="minorHAnsi" w:hAnsiTheme="minorHAnsi" w:cstheme="minorBidi"/>
          <w:sz w:val="22"/>
          <w:szCs w:val="22"/>
          <w:lang w:val="sr-Cyrl-RS"/>
        </w:rPr>
        <w:t>енергетика - изградња и коришћење објеката, минерални ресурси, трговина и туризам, финансије, саобраћај и везе и коришћење пољопривредног земљишта и водног добра.</w:t>
      </w:r>
      <w:r w:rsidRPr="00100274">
        <w:rPr>
          <w:rFonts w:asciiTheme="minorHAnsi" w:hAnsiTheme="minorHAnsi"/>
          <w:sz w:val="22"/>
          <w:szCs w:val="22"/>
          <w:lang w:val="sr-Cyrl-BA"/>
        </w:rPr>
        <w:t xml:space="preserve"> </w:t>
      </w:r>
    </w:p>
    <w:p w:rsidR="00190B76" w:rsidRDefault="00100274" w:rsidP="00100274">
      <w:pPr>
        <w:jc w:val="both"/>
        <w:rPr>
          <w:rFonts w:asciiTheme="minorHAnsi" w:hAnsiTheme="minorHAnsi"/>
          <w:sz w:val="22"/>
          <w:szCs w:val="22"/>
        </w:rPr>
      </w:pPr>
      <w:r w:rsidRPr="00100274">
        <w:rPr>
          <w:rFonts w:asciiTheme="minorHAnsi" w:hAnsiTheme="minorHAnsi"/>
          <w:sz w:val="22"/>
          <w:szCs w:val="22"/>
          <w:lang w:val="sr-Cyrl-BA"/>
        </w:rPr>
        <w:t xml:space="preserve">Ријешени предмети по областима су детаљније наведени у поглављима 3.1.-3.7, а збирно су </w:t>
      </w:r>
    </w:p>
    <w:p w:rsidR="00190B76" w:rsidRDefault="00100274" w:rsidP="00100274">
      <w:pPr>
        <w:jc w:val="both"/>
        <w:rPr>
          <w:rFonts w:asciiTheme="minorHAnsi" w:hAnsiTheme="minorHAnsi"/>
          <w:sz w:val="22"/>
          <w:szCs w:val="22"/>
        </w:rPr>
      </w:pPr>
      <w:r w:rsidRPr="00100274">
        <w:rPr>
          <w:rFonts w:asciiTheme="minorHAnsi" w:hAnsiTheme="minorHAnsi"/>
          <w:sz w:val="22"/>
          <w:szCs w:val="22"/>
          <w:lang w:val="sr-Cyrl-BA"/>
        </w:rPr>
        <w:t xml:space="preserve">приказани у </w:t>
      </w:r>
      <w:r w:rsidRPr="00A55D32">
        <w:rPr>
          <w:rFonts w:asciiTheme="minorHAnsi" w:hAnsiTheme="minorHAnsi"/>
          <w:b/>
          <w:i/>
          <w:sz w:val="22"/>
          <w:szCs w:val="22"/>
          <w:lang w:val="sr-Cyrl-BA"/>
        </w:rPr>
        <w:t>графикону бр. 4</w:t>
      </w:r>
      <w:r w:rsidRPr="00A55D32">
        <w:rPr>
          <w:rFonts w:asciiTheme="minorHAnsi" w:hAnsiTheme="minorHAnsi"/>
          <w:b/>
          <w:sz w:val="22"/>
          <w:szCs w:val="22"/>
          <w:lang w:val="sr-Cyrl-BA"/>
        </w:rPr>
        <w:t>.</w:t>
      </w:r>
      <w:r w:rsidRPr="00100274">
        <w:rPr>
          <w:rFonts w:asciiTheme="minorHAnsi" w:hAnsiTheme="minorHAnsi"/>
          <w:sz w:val="22"/>
          <w:szCs w:val="22"/>
          <w:lang w:val="sr-Cyrl-BA"/>
        </w:rPr>
        <w:t xml:space="preserve"> </w:t>
      </w:r>
    </w:p>
    <w:p w:rsidR="00190B76" w:rsidRPr="00190B76" w:rsidRDefault="00190B76" w:rsidP="00100274">
      <w:pPr>
        <w:jc w:val="both"/>
        <w:rPr>
          <w:rFonts w:asciiTheme="minorHAnsi" w:hAnsiTheme="minorHAnsi"/>
          <w:sz w:val="22"/>
          <w:szCs w:val="22"/>
        </w:rPr>
      </w:pPr>
    </w:p>
    <w:p w:rsidR="00190B76" w:rsidRDefault="00190B76" w:rsidP="00100274">
      <w:pPr>
        <w:jc w:val="both"/>
        <w:rPr>
          <w:rFonts w:asciiTheme="minorHAnsi" w:hAnsiTheme="minorHAnsi"/>
          <w:sz w:val="22"/>
          <w:szCs w:val="22"/>
        </w:rPr>
      </w:pPr>
    </w:p>
    <w:p w:rsidR="00100274" w:rsidRDefault="00100274" w:rsidP="00100274">
      <w:pPr>
        <w:jc w:val="both"/>
        <w:rPr>
          <w:rFonts w:asciiTheme="minorHAnsi" w:hAnsiTheme="minorHAnsi"/>
          <w:sz w:val="22"/>
          <w:szCs w:val="22"/>
        </w:rPr>
      </w:pPr>
      <w:r w:rsidRPr="00100274">
        <w:rPr>
          <w:rFonts w:asciiTheme="minorHAnsi" w:hAnsiTheme="minorHAnsi"/>
          <w:sz w:val="22"/>
          <w:szCs w:val="22"/>
          <w:lang w:val="sr-Cyrl-BA"/>
        </w:rPr>
        <w:t xml:space="preserve"> </w:t>
      </w:r>
    </w:p>
    <w:p w:rsidR="00190B76" w:rsidRPr="00190B76" w:rsidRDefault="00190B76" w:rsidP="00100274">
      <w:pPr>
        <w:jc w:val="both"/>
        <w:rPr>
          <w:rFonts w:asciiTheme="minorHAnsi" w:hAnsiTheme="minorHAnsi"/>
          <w:sz w:val="22"/>
          <w:szCs w:val="22"/>
        </w:rPr>
      </w:pPr>
    </w:p>
    <w:p w:rsidR="00100274" w:rsidRPr="00100274" w:rsidRDefault="00100274" w:rsidP="00100274">
      <w:pPr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100274" w:rsidRDefault="00100274" w:rsidP="00100274">
      <w:pPr>
        <w:jc w:val="both"/>
        <w:rPr>
          <w:rFonts w:asciiTheme="minorHAnsi" w:hAnsiTheme="minorHAnsi"/>
          <w:b/>
          <w:i/>
          <w:sz w:val="22"/>
          <w:szCs w:val="22"/>
          <w:lang w:val="sr-Cyrl-BA"/>
        </w:rPr>
      </w:pPr>
    </w:p>
    <w:p w:rsidR="00100274" w:rsidRDefault="00100274" w:rsidP="00100274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190B76" w:rsidRPr="00190B76" w:rsidRDefault="00190B76" w:rsidP="00190B76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190B76">
        <w:rPr>
          <w:rFonts w:asciiTheme="minorHAnsi" w:hAnsiTheme="minorHAnsi"/>
          <w:b/>
          <w:i/>
          <w:sz w:val="22"/>
          <w:szCs w:val="22"/>
          <w:u w:val="single"/>
        </w:rPr>
        <w:lastRenderedPageBreak/>
        <w:t>Графикон 4.</w:t>
      </w:r>
    </w:p>
    <w:p w:rsidR="00190B76" w:rsidRPr="00190B76" w:rsidRDefault="00190B76" w:rsidP="00100274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100274" w:rsidRPr="00100274" w:rsidRDefault="00100274" w:rsidP="00100274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905571" wp14:editId="522A8C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64230" cy="2286000"/>
            <wp:effectExtent l="0" t="0" r="7620" b="0"/>
            <wp:wrapSquare wrapText="bothSides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274" w:rsidRPr="003B0E37" w:rsidRDefault="00100274" w:rsidP="00100274">
      <w:pPr>
        <w:rPr>
          <w:rFonts w:asciiTheme="minorHAnsi" w:hAnsiTheme="minorHAnsi"/>
          <w:sz w:val="22"/>
          <w:szCs w:val="22"/>
          <w:lang w:val="sr-Cyrl-BA"/>
        </w:rPr>
      </w:pPr>
    </w:p>
    <w:p w:rsidR="00100274" w:rsidRDefault="00100274" w:rsidP="00100274">
      <w:pPr>
        <w:pStyle w:val="ListParagraph"/>
        <w:jc w:val="both"/>
        <w:rPr>
          <w:rFonts w:asciiTheme="minorHAnsi" w:eastAsiaTheme="minorHAnsi" w:hAnsiTheme="minorHAnsi" w:cstheme="minorBidi"/>
          <w:b/>
          <w:color w:val="FFFFFF" w:themeColor="background1"/>
          <w:sz w:val="16"/>
          <w:szCs w:val="16"/>
          <w:shd w:val="clear" w:color="auto" w:fill="4F81BD" w:themeFill="accent1"/>
          <w:lang w:val="sr-Cyrl-RS"/>
        </w:rPr>
      </w:pPr>
    </w:p>
    <w:p w:rsidR="00100274" w:rsidRDefault="00100274" w:rsidP="00100274">
      <w:pPr>
        <w:pStyle w:val="ListParagraph"/>
        <w:jc w:val="both"/>
        <w:rPr>
          <w:rFonts w:asciiTheme="minorHAnsi" w:eastAsiaTheme="minorHAnsi" w:hAnsiTheme="minorHAnsi" w:cstheme="minorBidi"/>
          <w:b/>
          <w:color w:val="FFFFFF" w:themeColor="background1"/>
          <w:sz w:val="16"/>
          <w:szCs w:val="16"/>
          <w:shd w:val="clear" w:color="auto" w:fill="4F81BD" w:themeFill="accent1"/>
          <w:lang w:val="sr-Cyrl-RS"/>
        </w:rPr>
      </w:pPr>
    </w:p>
    <w:p w:rsidR="00100274" w:rsidRDefault="00100274" w:rsidP="00100274">
      <w:pPr>
        <w:pStyle w:val="ListParagraph"/>
        <w:jc w:val="both"/>
        <w:rPr>
          <w:rFonts w:asciiTheme="minorHAnsi" w:eastAsiaTheme="minorHAnsi" w:hAnsiTheme="minorHAnsi" w:cstheme="minorBidi"/>
          <w:b/>
          <w:color w:val="FFFFFF" w:themeColor="background1"/>
          <w:sz w:val="16"/>
          <w:szCs w:val="16"/>
          <w:shd w:val="clear" w:color="auto" w:fill="4F81BD" w:themeFill="accent1"/>
          <w:lang w:val="sr-Cyrl-RS"/>
        </w:rPr>
      </w:pPr>
    </w:p>
    <w:p w:rsidR="00100274" w:rsidRPr="00100274" w:rsidRDefault="00100274" w:rsidP="00100274">
      <w:pPr>
        <w:spacing w:line="276" w:lineRule="auto"/>
        <w:jc w:val="both"/>
        <w:rPr>
          <w:rFonts w:asciiTheme="minorHAnsi" w:eastAsiaTheme="minorHAnsi" w:hAnsiTheme="minorHAnsi" w:cstheme="minorBidi"/>
          <w:b/>
          <w:color w:val="FFFFFF" w:themeColor="background1"/>
          <w:sz w:val="20"/>
          <w:szCs w:val="20"/>
          <w:shd w:val="clear" w:color="auto" w:fill="4F81BD" w:themeFill="accent1"/>
          <w:lang w:val="sr-Cyrl-RS"/>
        </w:rPr>
      </w:pPr>
      <w:r w:rsidRPr="00100274">
        <w:rPr>
          <w:rFonts w:asciiTheme="minorHAnsi" w:eastAsiaTheme="minorHAnsi" w:hAnsiTheme="minorHAnsi" w:cstheme="minorBidi"/>
          <w:b/>
          <w:color w:val="FFFFFF" w:themeColor="background1"/>
          <w:sz w:val="20"/>
          <w:szCs w:val="20"/>
          <w:shd w:val="clear" w:color="auto" w:fill="4F81BD" w:themeFill="accent1"/>
          <w:lang w:val="sr-Cyrl-RS"/>
        </w:rPr>
        <w:t>1</w:t>
      </w:r>
      <w:r w:rsidRPr="00100274">
        <w:rPr>
          <w:rFonts w:asciiTheme="minorHAnsi" w:eastAsiaTheme="minorHAnsi" w:hAnsiTheme="minorHAnsi" w:cstheme="minorBidi"/>
          <w:b/>
          <w:sz w:val="20"/>
          <w:szCs w:val="20"/>
          <w:shd w:val="clear" w:color="auto" w:fill="FFFFFF" w:themeFill="background1"/>
          <w:lang w:val="sr-Cyrl-RS"/>
        </w:rPr>
        <w:t>.Енерг. изградња и коришћ. обј. 26</w:t>
      </w:r>
      <w:r w:rsidRPr="00100274">
        <w:rPr>
          <w:rFonts w:asciiTheme="minorHAnsi" w:eastAsiaTheme="minorHAnsi" w:hAnsiTheme="minorHAnsi" w:cstheme="minorBidi"/>
          <w:b/>
          <w:sz w:val="20"/>
          <w:szCs w:val="20"/>
          <w:shd w:val="clear" w:color="auto" w:fill="4F81BD" w:themeFill="accent1"/>
          <w:lang w:val="sr-Cyrl-RS"/>
        </w:rPr>
        <w:t xml:space="preserve"> </w:t>
      </w:r>
    </w:p>
    <w:p w:rsidR="00100274" w:rsidRPr="004C728E" w:rsidRDefault="00100274" w:rsidP="00100274">
      <w:pPr>
        <w:spacing w:line="276" w:lineRule="auto"/>
        <w:jc w:val="both"/>
        <w:rPr>
          <w:rFonts w:asciiTheme="minorHAnsi" w:eastAsiaTheme="minorHAnsi" w:hAnsiTheme="minorHAnsi" w:cstheme="minorBidi"/>
          <w:b/>
          <w:color w:val="FFFFFF" w:themeColor="background1"/>
          <w:sz w:val="20"/>
          <w:szCs w:val="20"/>
          <w:shd w:val="clear" w:color="auto" w:fill="C0504D" w:themeFill="accent2"/>
          <w:lang w:val="sr-Cyrl-RS"/>
        </w:rPr>
      </w:pPr>
      <w:r w:rsidRPr="004C728E">
        <w:rPr>
          <w:rFonts w:asciiTheme="minorHAnsi" w:eastAsiaTheme="minorHAnsi" w:hAnsiTheme="minorHAnsi" w:cstheme="minorBidi"/>
          <w:b/>
          <w:color w:val="FFFFFF" w:themeColor="background1"/>
          <w:sz w:val="20"/>
          <w:szCs w:val="20"/>
          <w:shd w:val="clear" w:color="auto" w:fill="C0504D" w:themeFill="accent2"/>
          <w:lang w:val="sr-Cyrl-RS"/>
        </w:rPr>
        <w:t>2</w:t>
      </w:r>
      <w:r w:rsidRPr="004C728E">
        <w:rPr>
          <w:rFonts w:asciiTheme="minorHAnsi" w:eastAsiaTheme="minorHAnsi" w:hAnsiTheme="minorHAnsi" w:cstheme="minorBidi"/>
          <w:b/>
          <w:sz w:val="20"/>
          <w:szCs w:val="20"/>
          <w:shd w:val="clear" w:color="auto" w:fill="FFFFFF" w:themeFill="background1"/>
          <w:lang w:val="sr-Cyrl-RS"/>
        </w:rPr>
        <w:t>. Минерални ресурси - 33,</w:t>
      </w:r>
    </w:p>
    <w:p w:rsidR="00100274" w:rsidRPr="004C728E" w:rsidRDefault="00100274" w:rsidP="00100274">
      <w:pPr>
        <w:spacing w:line="276" w:lineRule="auto"/>
        <w:jc w:val="both"/>
        <w:rPr>
          <w:rFonts w:asciiTheme="minorHAnsi" w:eastAsiaTheme="minorHAnsi" w:hAnsiTheme="minorHAnsi" w:cstheme="minorBidi"/>
          <w:b/>
          <w:color w:val="FFFFFF" w:themeColor="background1"/>
          <w:sz w:val="20"/>
          <w:szCs w:val="20"/>
          <w:shd w:val="clear" w:color="auto" w:fill="95B3D7" w:themeFill="accent1" w:themeFillTint="99"/>
          <w:lang w:val="sr-Cyrl-RS"/>
        </w:rPr>
      </w:pPr>
      <w:r w:rsidRPr="004C728E">
        <w:rPr>
          <w:rFonts w:asciiTheme="minorHAnsi" w:eastAsiaTheme="minorHAnsi" w:hAnsiTheme="minorHAnsi" w:cstheme="minorBidi"/>
          <w:b/>
          <w:color w:val="FFFFFF" w:themeColor="background1"/>
          <w:sz w:val="20"/>
          <w:szCs w:val="20"/>
          <w:shd w:val="clear" w:color="auto" w:fill="95B3D7" w:themeFill="accent1" w:themeFillTint="99"/>
          <w:lang w:val="sr-Cyrl-RS"/>
        </w:rPr>
        <w:t>3</w:t>
      </w:r>
      <w:r w:rsidRPr="004C728E">
        <w:rPr>
          <w:rFonts w:asciiTheme="minorHAnsi" w:eastAsiaTheme="minorHAnsi" w:hAnsiTheme="minorHAnsi" w:cstheme="minorBidi"/>
          <w:b/>
          <w:sz w:val="20"/>
          <w:szCs w:val="20"/>
          <w:shd w:val="clear" w:color="auto" w:fill="FFFFFF" w:themeFill="background1"/>
          <w:lang w:val="sr-Cyrl-RS"/>
        </w:rPr>
        <w:t>. Трговина и туризам - 1,</w:t>
      </w:r>
    </w:p>
    <w:p w:rsidR="00100274" w:rsidRPr="004C728E" w:rsidRDefault="00100274" w:rsidP="00100274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shd w:val="clear" w:color="auto" w:fill="7030A0"/>
          <w:lang w:val="sr-Cyrl-RS"/>
        </w:rPr>
      </w:pPr>
      <w:r w:rsidRPr="004C728E">
        <w:rPr>
          <w:rFonts w:asciiTheme="minorHAnsi" w:eastAsiaTheme="minorHAnsi" w:hAnsiTheme="minorHAnsi" w:cstheme="minorBidi"/>
          <w:b/>
          <w:color w:val="FFFFFF" w:themeColor="background1"/>
          <w:sz w:val="20"/>
          <w:szCs w:val="20"/>
          <w:shd w:val="clear" w:color="auto" w:fill="7030A0"/>
          <w:lang w:val="sr-Cyrl-RS"/>
        </w:rPr>
        <w:t>4</w:t>
      </w:r>
      <w:r w:rsidRPr="004C728E">
        <w:rPr>
          <w:rFonts w:asciiTheme="minorHAnsi" w:eastAsiaTheme="minorHAnsi" w:hAnsiTheme="minorHAnsi" w:cstheme="minorBidi"/>
          <w:b/>
          <w:sz w:val="20"/>
          <w:szCs w:val="20"/>
          <w:shd w:val="clear" w:color="auto" w:fill="FFFFFF" w:themeFill="background1"/>
          <w:lang w:val="sr-Cyrl-RS"/>
        </w:rPr>
        <w:t>. Финансије – 1</w:t>
      </w:r>
    </w:p>
    <w:p w:rsidR="00100274" w:rsidRPr="004C728E" w:rsidRDefault="00100274" w:rsidP="00100274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shd w:val="clear" w:color="auto" w:fill="FFFFFF" w:themeFill="background1"/>
          <w:lang w:val="sr-Cyrl-RS"/>
        </w:rPr>
      </w:pPr>
      <w:r w:rsidRPr="004C728E">
        <w:rPr>
          <w:rFonts w:asciiTheme="minorHAnsi" w:eastAsiaTheme="minorHAnsi" w:hAnsiTheme="minorHAnsi" w:cstheme="minorBidi"/>
          <w:b/>
          <w:color w:val="FFFFFF" w:themeColor="background1"/>
          <w:sz w:val="20"/>
          <w:szCs w:val="20"/>
          <w:shd w:val="clear" w:color="auto" w:fill="9BBB59" w:themeFill="accent3"/>
          <w:lang w:val="sr-Cyrl-RS"/>
        </w:rPr>
        <w:t>5</w:t>
      </w:r>
      <w:r w:rsidRPr="004C728E">
        <w:rPr>
          <w:rFonts w:asciiTheme="minorHAnsi" w:eastAsiaTheme="minorHAnsi" w:hAnsiTheme="minorHAnsi" w:cstheme="minorBidi"/>
          <w:b/>
          <w:sz w:val="20"/>
          <w:szCs w:val="20"/>
          <w:shd w:val="clear" w:color="auto" w:fill="FFFFFF" w:themeFill="background1"/>
          <w:lang w:val="sr-Cyrl-RS"/>
        </w:rPr>
        <w:t>. Саобраћај и везе – 1</w:t>
      </w:r>
    </w:p>
    <w:p w:rsidR="00100274" w:rsidRPr="004C728E" w:rsidRDefault="00100274" w:rsidP="00100274">
      <w:pPr>
        <w:spacing w:line="276" w:lineRule="auto"/>
        <w:jc w:val="both"/>
        <w:rPr>
          <w:rFonts w:asciiTheme="minorHAnsi" w:eastAsiaTheme="minorHAnsi" w:hAnsiTheme="minorHAnsi" w:cstheme="minorBidi"/>
          <w:b/>
          <w:color w:val="FFFFFF" w:themeColor="background1"/>
          <w:sz w:val="20"/>
          <w:szCs w:val="20"/>
          <w:shd w:val="clear" w:color="auto" w:fill="9BBB59" w:themeFill="accent3"/>
          <w:lang w:val="sr-Cyrl-RS"/>
        </w:rPr>
      </w:pPr>
      <w:r w:rsidRPr="004C728E">
        <w:rPr>
          <w:rFonts w:asciiTheme="minorHAnsi" w:eastAsiaTheme="minorHAnsi" w:hAnsiTheme="minorHAnsi" w:cstheme="minorBidi"/>
          <w:b/>
          <w:color w:val="FFFFFF" w:themeColor="background1"/>
          <w:sz w:val="20"/>
          <w:szCs w:val="20"/>
          <w:shd w:val="clear" w:color="auto" w:fill="F79646" w:themeFill="accent6"/>
          <w:lang w:val="sr-Cyrl-RS"/>
        </w:rPr>
        <w:t>6</w:t>
      </w:r>
      <w:r w:rsidRPr="004C728E">
        <w:rPr>
          <w:rFonts w:asciiTheme="minorHAnsi" w:eastAsiaTheme="minorHAnsi" w:hAnsiTheme="minorHAnsi" w:cstheme="minorBidi"/>
          <w:b/>
          <w:sz w:val="20"/>
          <w:szCs w:val="20"/>
          <w:shd w:val="clear" w:color="auto" w:fill="FFFFFF" w:themeFill="background1"/>
          <w:lang w:val="sr-Cyrl-RS"/>
        </w:rPr>
        <w:t>. Пољ</w:t>
      </w:r>
      <w:r>
        <w:rPr>
          <w:rFonts w:asciiTheme="minorHAnsi" w:eastAsiaTheme="minorHAnsi" w:hAnsiTheme="minorHAnsi" w:cstheme="minorBidi"/>
          <w:b/>
          <w:sz w:val="20"/>
          <w:szCs w:val="20"/>
          <w:shd w:val="clear" w:color="auto" w:fill="FFFFFF" w:themeFill="background1"/>
          <w:lang w:val="sr-Cyrl-RS"/>
        </w:rPr>
        <w:t>.</w:t>
      </w:r>
      <w:r w:rsidRPr="004C728E">
        <w:rPr>
          <w:rFonts w:asciiTheme="minorHAnsi" w:eastAsiaTheme="minorHAnsi" w:hAnsiTheme="minorHAnsi" w:cstheme="minorBidi"/>
          <w:b/>
          <w:sz w:val="20"/>
          <w:szCs w:val="20"/>
          <w:shd w:val="clear" w:color="auto" w:fill="FFFFFF" w:themeFill="background1"/>
          <w:lang w:val="sr-Cyrl-RS"/>
        </w:rPr>
        <w:t xml:space="preserve"> земљиште и водно добро – 11</w:t>
      </w:r>
    </w:p>
    <w:p w:rsidR="00100274" w:rsidRPr="00A55D32" w:rsidRDefault="00100274" w:rsidP="00100274">
      <w:pPr>
        <w:rPr>
          <w:rFonts w:asciiTheme="minorHAnsi" w:hAnsiTheme="minorHAnsi"/>
          <w:sz w:val="22"/>
          <w:szCs w:val="22"/>
          <w:lang w:val="sr-Cyrl-RS"/>
        </w:rPr>
      </w:pPr>
      <w:r w:rsidRPr="00A55D32">
        <w:rPr>
          <w:rFonts w:asciiTheme="minorHAnsi" w:hAnsiTheme="minorHAnsi"/>
          <w:sz w:val="22"/>
          <w:szCs w:val="22"/>
          <w:lang w:val="sr-Cyrl-RS"/>
        </w:rPr>
        <w:t xml:space="preserve">Ради увида у збирне подакте по годинама и прааћења тенденције у рјешавању предмета Комисије за концесије у </w:t>
      </w:r>
      <w:r w:rsidRPr="00A55D32">
        <w:rPr>
          <w:rFonts w:asciiTheme="minorHAnsi" w:hAnsiTheme="minorHAnsi"/>
          <w:i/>
          <w:sz w:val="22"/>
          <w:szCs w:val="22"/>
          <w:lang w:val="sr-Cyrl-RS"/>
        </w:rPr>
        <w:t>графикону 5</w:t>
      </w:r>
      <w:r w:rsidRPr="00A55D32">
        <w:rPr>
          <w:rFonts w:asciiTheme="minorHAnsi" w:hAnsiTheme="minorHAnsi"/>
          <w:sz w:val="22"/>
          <w:szCs w:val="22"/>
          <w:lang w:val="sr-Cyrl-RS"/>
        </w:rPr>
        <w:t>. риказан је укупан број ријешених предмета за  последњих пет година (2011-2015.)</w:t>
      </w:r>
    </w:p>
    <w:p w:rsidR="00100274" w:rsidRPr="00A55D32" w:rsidRDefault="00100274" w:rsidP="00100274">
      <w:pPr>
        <w:rPr>
          <w:rFonts w:asciiTheme="minorHAnsi" w:hAnsiTheme="minorHAnsi"/>
          <w:sz w:val="22"/>
          <w:szCs w:val="22"/>
          <w:lang w:val="sr-Cyrl-RS"/>
        </w:rPr>
      </w:pPr>
    </w:p>
    <w:p w:rsidR="00100274" w:rsidRDefault="00100274" w:rsidP="00100274">
      <w:pPr>
        <w:rPr>
          <w:b/>
          <w:lang w:val="sr-Cyrl-RS"/>
        </w:rPr>
      </w:pPr>
      <w:r w:rsidRPr="00095B5B">
        <w:rPr>
          <w:rFonts w:asciiTheme="minorHAnsi" w:hAnsiTheme="minorHAnsi"/>
          <w:b/>
          <w:i/>
          <w:sz w:val="22"/>
          <w:szCs w:val="22"/>
          <w:u w:val="single"/>
          <w:lang w:val="sr-Cyrl-RS"/>
        </w:rPr>
        <w:t>Графикон</w:t>
      </w:r>
      <w:r w:rsidRPr="00095B5B">
        <w:rPr>
          <w:b/>
          <w:i/>
          <w:u w:val="single"/>
          <w:lang w:val="sr-Cyrl-RS"/>
        </w:rPr>
        <w:t xml:space="preserve"> 5.</w:t>
      </w:r>
      <w:r w:rsidRPr="00C43107">
        <w:rPr>
          <w:noProof/>
          <w:color w:val="FF0000"/>
        </w:rPr>
        <w:t xml:space="preserve"> </w:t>
      </w:r>
      <w:r w:rsidRPr="00BA0EFD">
        <w:rPr>
          <w:noProof/>
          <w:color w:val="E36C0A" w:themeColor="accent6" w:themeShade="BF"/>
        </w:rPr>
        <w:drawing>
          <wp:inline distT="0" distB="0" distL="0" distR="0" wp14:anchorId="454F34D8" wp14:editId="0AAB0E4D">
            <wp:extent cx="5736566" cy="2027208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0274" w:rsidRDefault="00100274" w:rsidP="00100274">
      <w:pPr>
        <w:rPr>
          <w:b/>
          <w:lang w:val="sr-Cyrl-RS"/>
        </w:rPr>
      </w:pPr>
    </w:p>
    <w:p w:rsidR="00BE71B2" w:rsidRPr="00F405D3" w:rsidRDefault="00BE71B2" w:rsidP="00100274">
      <w:pPr>
        <w:rPr>
          <w:rFonts w:asciiTheme="minorHAnsi" w:eastAsiaTheme="minorHAnsi" w:hAnsiTheme="minorHAnsi"/>
          <w:sz w:val="22"/>
          <w:szCs w:val="22"/>
          <w:lang w:val="sr-Cyrl-BA"/>
        </w:rPr>
      </w:pPr>
    </w:p>
    <w:p w:rsidR="00867E96" w:rsidRPr="00BB6411" w:rsidRDefault="00867E96" w:rsidP="00BB6411">
      <w:pPr>
        <w:pStyle w:val="Heading2"/>
      </w:pPr>
      <w:bookmarkStart w:id="15" w:name="_Toc418075609"/>
      <w:bookmarkStart w:id="16" w:name="_Toc449404312"/>
      <w:r w:rsidRPr="00C9571B">
        <w:t xml:space="preserve">3.1. </w:t>
      </w:r>
      <w:r w:rsidR="00DD65E6">
        <w:t>Провјера</w:t>
      </w:r>
      <w:r w:rsidRPr="00C9571B">
        <w:t xml:space="preserve"> </w:t>
      </w:r>
      <w:r w:rsidR="00DD65E6">
        <w:t>рада</w:t>
      </w:r>
      <w:r w:rsidRPr="00C9571B">
        <w:t xml:space="preserve"> </w:t>
      </w:r>
      <w:r w:rsidR="00DD65E6">
        <w:t>Концесионара</w:t>
      </w:r>
      <w:bookmarkEnd w:id="15"/>
      <w:bookmarkEnd w:id="16"/>
    </w:p>
    <w:p w:rsidR="00867E96" w:rsidRPr="00C209BF" w:rsidRDefault="00DD65E6" w:rsidP="00B43581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обавила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већи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број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провјера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рада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К</w:t>
      </w:r>
      <w:r>
        <w:rPr>
          <w:rFonts w:asciiTheme="minorHAnsi" w:hAnsiTheme="minorHAnsi"/>
          <w:sz w:val="22"/>
          <w:szCs w:val="22"/>
          <w:lang w:val="sr-Cyrl-BA"/>
        </w:rPr>
        <w:t>онцесионара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укупно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2310B1">
        <w:rPr>
          <w:rFonts w:asciiTheme="minorHAnsi" w:hAnsiTheme="minorHAnsi"/>
          <w:sz w:val="22"/>
          <w:szCs w:val="22"/>
          <w:lang w:val="sr-Cyrl-BA"/>
        </w:rPr>
        <w:t>78 (</w:t>
      </w:r>
      <w:r>
        <w:rPr>
          <w:rFonts w:asciiTheme="minorHAnsi" w:hAnsiTheme="minorHAnsi"/>
          <w:sz w:val="22"/>
          <w:szCs w:val="22"/>
          <w:lang w:val="sr-Cyrl-BA"/>
        </w:rPr>
        <w:t>седамдесетосам</w:t>
      </w:r>
      <w:r w:rsidR="002310B1" w:rsidRPr="00B36C7E">
        <w:rPr>
          <w:rFonts w:asciiTheme="minorHAnsi" w:hAnsiTheme="minorHAnsi"/>
          <w:sz w:val="22"/>
          <w:szCs w:val="22"/>
          <w:lang w:val="sr-Cyrl-BA"/>
        </w:rPr>
        <w:t xml:space="preserve">). </w:t>
      </w:r>
      <w:r>
        <w:rPr>
          <w:rFonts w:asciiTheme="minorHAnsi" w:hAnsiTheme="minorHAnsi"/>
          <w:sz w:val="22"/>
          <w:szCs w:val="22"/>
          <w:lang w:val="sr-Cyrl-BA"/>
        </w:rPr>
        <w:t>Извршене</w:t>
      </w:r>
      <w:r w:rsidR="008A00AF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8A00AF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провјере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енергетике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минералних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ресурса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пољопривреде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>.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вези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тим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извршена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провјера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рада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К</w:t>
      </w:r>
      <w:r>
        <w:rPr>
          <w:rFonts w:asciiTheme="minorHAnsi" w:hAnsiTheme="minorHAnsi"/>
          <w:sz w:val="22"/>
          <w:szCs w:val="22"/>
          <w:lang w:val="sr-Cyrl-BA"/>
        </w:rPr>
        <w:t>онцесионара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или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достављени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извјештаји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К</w:t>
      </w:r>
      <w:r>
        <w:rPr>
          <w:rFonts w:asciiTheme="minorHAnsi" w:hAnsiTheme="minorHAnsi"/>
          <w:sz w:val="22"/>
          <w:szCs w:val="22"/>
          <w:lang w:val="sr-Cyrl-BA"/>
        </w:rPr>
        <w:t>онцесионара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реализацији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концесионих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пројеката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>:</w:t>
      </w:r>
    </w:p>
    <w:p w:rsidR="00867E96" w:rsidRPr="00C209BF" w:rsidRDefault="00E37BA8" w:rsidP="00B2144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C209BF">
        <w:rPr>
          <w:rFonts w:asciiTheme="minorHAnsi" w:hAnsiTheme="minorHAnsi"/>
          <w:sz w:val="22"/>
          <w:szCs w:val="22"/>
          <w:lang w:val="sr-Cyrl-BA"/>
        </w:rPr>
        <w:t>15</w:t>
      </w:r>
      <w:r w:rsidR="002410AC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уговора</w:t>
      </w:r>
      <w:r w:rsidR="002410AC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из</w:t>
      </w:r>
      <w:r w:rsidR="002410AC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области</w:t>
      </w:r>
      <w:r w:rsidR="002410AC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енергетике</w:t>
      </w:r>
      <w:r w:rsidR="002410AC" w:rsidRPr="00C209BF">
        <w:rPr>
          <w:rFonts w:asciiTheme="minorHAnsi" w:hAnsiTheme="minorHAnsi"/>
          <w:sz w:val="22"/>
          <w:szCs w:val="22"/>
          <w:lang w:val="sr-Latn-BA"/>
        </w:rPr>
        <w:t>;</w:t>
      </w:r>
    </w:p>
    <w:p w:rsidR="00867E96" w:rsidRPr="00C209BF" w:rsidRDefault="00E37BA8" w:rsidP="00B2144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C209BF">
        <w:rPr>
          <w:rFonts w:asciiTheme="minorHAnsi" w:hAnsiTheme="minorHAnsi"/>
          <w:sz w:val="22"/>
          <w:szCs w:val="22"/>
          <w:lang w:val="sr-Cyrl-BA"/>
        </w:rPr>
        <w:t>37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уговора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из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области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минералних</w:t>
      </w:r>
      <w:r w:rsidR="0057676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ресурса</w:t>
      </w:r>
      <w:r w:rsidR="00576768" w:rsidRPr="00C209BF">
        <w:rPr>
          <w:rFonts w:asciiTheme="minorHAnsi" w:hAnsiTheme="minorHAnsi"/>
          <w:sz w:val="22"/>
          <w:szCs w:val="22"/>
          <w:lang w:val="sr-Latn-BA"/>
        </w:rPr>
        <w:t>;</w:t>
      </w:r>
    </w:p>
    <w:p w:rsidR="00867E96" w:rsidRPr="008468E8" w:rsidRDefault="00E37BA8" w:rsidP="00B2144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C209BF">
        <w:rPr>
          <w:rFonts w:asciiTheme="minorHAnsi" w:hAnsiTheme="minorHAnsi"/>
          <w:sz w:val="22"/>
          <w:szCs w:val="22"/>
          <w:lang w:val="sr-Cyrl-BA"/>
        </w:rPr>
        <w:t>26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уговора</w:t>
      </w:r>
      <w:r w:rsidR="008F516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из</w:t>
      </w:r>
      <w:r w:rsidR="008F516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области</w:t>
      </w:r>
      <w:r w:rsidR="008F516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пољопривреде</w:t>
      </w:r>
      <w:r w:rsidR="008F5163" w:rsidRPr="00C209BF">
        <w:rPr>
          <w:rFonts w:asciiTheme="minorHAnsi" w:hAnsiTheme="minorHAnsi"/>
          <w:sz w:val="22"/>
          <w:szCs w:val="22"/>
          <w:lang w:val="sr-Latn-BA"/>
        </w:rPr>
        <w:t>;</w:t>
      </w:r>
    </w:p>
    <w:p w:rsidR="008468E8" w:rsidRDefault="008468E8" w:rsidP="008468E8">
      <w:pPr>
        <w:jc w:val="both"/>
        <w:rPr>
          <w:rFonts w:asciiTheme="minorHAnsi" w:hAnsiTheme="minorHAnsi"/>
          <w:sz w:val="22"/>
          <w:szCs w:val="22"/>
          <w:lang w:val="sr-Latn-BA"/>
        </w:rPr>
      </w:pPr>
    </w:p>
    <w:p w:rsidR="008468E8" w:rsidRDefault="008468E8" w:rsidP="008468E8">
      <w:pPr>
        <w:jc w:val="both"/>
        <w:rPr>
          <w:rFonts w:asciiTheme="minorHAnsi" w:hAnsiTheme="minorHAnsi"/>
          <w:sz w:val="22"/>
          <w:szCs w:val="22"/>
          <w:lang w:val="sr-Latn-BA"/>
        </w:rPr>
      </w:pPr>
    </w:p>
    <w:p w:rsidR="008468E8" w:rsidRDefault="008468E8" w:rsidP="008468E8">
      <w:pPr>
        <w:jc w:val="both"/>
        <w:rPr>
          <w:rFonts w:asciiTheme="minorHAnsi" w:hAnsiTheme="minorHAnsi"/>
          <w:sz w:val="22"/>
          <w:szCs w:val="22"/>
          <w:lang w:val="sr-Latn-BA"/>
        </w:rPr>
      </w:pPr>
    </w:p>
    <w:p w:rsidR="008468E8" w:rsidRDefault="008468E8" w:rsidP="008468E8">
      <w:pPr>
        <w:jc w:val="both"/>
        <w:rPr>
          <w:rFonts w:asciiTheme="minorHAnsi" w:hAnsiTheme="minorHAnsi"/>
          <w:sz w:val="22"/>
          <w:szCs w:val="22"/>
          <w:lang w:val="sr-Latn-BA"/>
        </w:rPr>
      </w:pPr>
    </w:p>
    <w:p w:rsidR="008468E8" w:rsidRDefault="008468E8" w:rsidP="008468E8">
      <w:pPr>
        <w:jc w:val="both"/>
        <w:rPr>
          <w:rFonts w:asciiTheme="minorHAnsi" w:hAnsiTheme="minorHAnsi"/>
          <w:sz w:val="22"/>
          <w:szCs w:val="22"/>
          <w:lang w:val="sr-Latn-BA"/>
        </w:rPr>
      </w:pPr>
    </w:p>
    <w:p w:rsidR="008468E8" w:rsidRPr="00095B5B" w:rsidRDefault="008468E8" w:rsidP="008468E8">
      <w:pPr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095B5B" w:rsidRDefault="00095B5B" w:rsidP="00095B5B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95B5B" w:rsidRPr="00095B5B" w:rsidRDefault="00095B5B" w:rsidP="00095B5B">
      <w:pPr>
        <w:jc w:val="both"/>
        <w:rPr>
          <w:rFonts w:asciiTheme="minorHAnsi" w:hAnsiTheme="minorHAnsi"/>
          <w:sz w:val="22"/>
          <w:szCs w:val="22"/>
        </w:rPr>
      </w:pPr>
      <w:r w:rsidRPr="00095B5B">
        <w:rPr>
          <w:rFonts w:asciiTheme="minorHAnsi" w:hAnsiTheme="minorHAnsi"/>
          <w:sz w:val="22"/>
          <w:szCs w:val="22"/>
        </w:rPr>
        <w:lastRenderedPageBreak/>
        <w:t>Структура провјере рада концесионара према областима приказана је у графикону 6.</w:t>
      </w:r>
    </w:p>
    <w:p w:rsidR="00DC7571" w:rsidRPr="0087230D" w:rsidRDefault="0087230D" w:rsidP="00034262">
      <w:pPr>
        <w:jc w:val="both"/>
        <w:rPr>
          <w:rFonts w:asciiTheme="minorHAnsi" w:hAnsiTheme="minorHAnsi"/>
          <w:b/>
          <w:i/>
          <w:sz w:val="22"/>
          <w:szCs w:val="22"/>
          <w:u w:val="single"/>
          <w:lang w:val="sr-Cyrl-BA"/>
        </w:rPr>
      </w:pPr>
      <w:r w:rsidRPr="0087230D">
        <w:rPr>
          <w:rFonts w:asciiTheme="minorHAnsi" w:hAnsiTheme="minorHAnsi"/>
          <w:b/>
          <w:i/>
          <w:sz w:val="22"/>
          <w:szCs w:val="22"/>
          <w:u w:val="single"/>
          <w:lang w:val="sr-Cyrl-BA"/>
        </w:rPr>
        <w:t>Графикон 6.</w:t>
      </w:r>
    </w:p>
    <w:p w:rsidR="00034262" w:rsidRPr="00034262" w:rsidRDefault="00095B5B" w:rsidP="00034262">
      <w:p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4A0E82E">
            <wp:extent cx="5779770" cy="19018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571" w:rsidRDefault="00DC7571" w:rsidP="00E37BA8">
      <w:pPr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ED15DE" w:rsidRPr="00C209BF" w:rsidRDefault="00DD65E6" w:rsidP="00E37BA8">
      <w:p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Због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специфичности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раду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ED20D7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ED20D7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календарској</w:t>
      </w:r>
      <w:r w:rsidR="00ED20D7" w:rsidRPr="00C209BF">
        <w:rPr>
          <w:rFonts w:asciiTheme="minorHAnsi" w:hAnsiTheme="minorHAnsi"/>
          <w:sz w:val="22"/>
          <w:szCs w:val="22"/>
          <w:lang w:val="sr-Cyrl-BA"/>
        </w:rPr>
        <w:t xml:space="preserve"> 2015.</w:t>
      </w:r>
      <w:r w:rsidR="00BB64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години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тј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истека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мандата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старих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чланова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преузимања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дужности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Новог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сазива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именованог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Народне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скупштине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овај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процес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дијелу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обиласка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провјере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рада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Концесионара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>,</w:t>
      </w:r>
      <w:r w:rsidR="00BB64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био</w:t>
      </w:r>
      <w:r w:rsidR="00BB6411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дјелимично</w:t>
      </w:r>
      <w:r w:rsidR="00BB6411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успорен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те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због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тога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извршено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мање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контрола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Концесионара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контрола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извршавању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обавеза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концесионих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>.</w:t>
      </w:r>
    </w:p>
    <w:p w:rsidR="00E37BA8" w:rsidRPr="00C209BF" w:rsidRDefault="00DD65E6" w:rsidP="00E37BA8">
      <w:p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Нови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сазив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првобитну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активност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усмјерио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E37BA8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формирање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базе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података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Концесионара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уз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помоћ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Регистра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вођењу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концесионих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као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Архиве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F50DB5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782E7E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како</w:t>
      </w:r>
      <w:r w:rsidR="00782E7E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</w:t>
      </w:r>
      <w:r w:rsidR="00782E7E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9939A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Нови</w:t>
      </w:r>
      <w:r w:rsidR="009939A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сазив</w:t>
      </w:r>
      <w:r w:rsidR="009939A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што</w:t>
      </w:r>
      <w:r w:rsidR="00782E7E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благовременије</w:t>
      </w:r>
      <w:r w:rsidR="00782E7E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782E7E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тачније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упознао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стањем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предметима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који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воде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Комисији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B87333" w:rsidRPr="00C209BF">
        <w:rPr>
          <w:rFonts w:asciiTheme="minorHAnsi" w:hAnsiTheme="minorHAnsi"/>
          <w:sz w:val="22"/>
          <w:szCs w:val="22"/>
          <w:lang w:val="sr-Cyrl-BA"/>
        </w:rPr>
        <w:t>.</w:t>
      </w:r>
    </w:p>
    <w:p w:rsidR="00F458F3" w:rsidRPr="00C209BF" w:rsidRDefault="00DD65E6" w:rsidP="00E37BA8">
      <w:p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Такође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упућивањем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циркуларног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писма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свим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постојећим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Концесоионарима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доставом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иновиране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документације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истих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тачније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сагледао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реалну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тренутну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ситуацију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вези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испуњавањем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уговорених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концесионих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обавеза</w:t>
      </w:r>
      <w:r w:rsidR="00F458F3" w:rsidRPr="00C209BF">
        <w:rPr>
          <w:rFonts w:asciiTheme="minorHAnsi" w:hAnsiTheme="minorHAnsi"/>
          <w:sz w:val="22"/>
          <w:szCs w:val="22"/>
          <w:lang w:val="sr-Cyrl-BA"/>
        </w:rPr>
        <w:t>.</w:t>
      </w:r>
    </w:p>
    <w:p w:rsidR="00867E96" w:rsidRPr="00C209BF" w:rsidRDefault="00DD65E6" w:rsidP="00B43581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Након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свих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обављених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активности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одржавани</w:t>
      </w:r>
      <w:r w:rsidR="00BB64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састанци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просторијама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постојећим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потенцијалним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Концесионарима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којима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Нови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Сазив</w:t>
      </w:r>
      <w:r w:rsidR="00EC0590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добио</w:t>
      </w:r>
      <w:r w:rsidR="00ED20D7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информације</w:t>
      </w:r>
      <w:r w:rsidR="00ED20D7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ED20D7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актуалном</w:t>
      </w:r>
      <w:r w:rsidR="00ED20D7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стању</w:t>
      </w:r>
      <w:r w:rsidR="00ED20D7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испуњавања</w:t>
      </w:r>
      <w:r w:rsidR="00ED20D7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концесионих</w:t>
      </w:r>
      <w:r w:rsidR="00ED20D7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обавеза</w:t>
      </w:r>
      <w:r w:rsidR="00ED20D7" w:rsidRPr="00C209BF">
        <w:rPr>
          <w:rFonts w:asciiTheme="minorHAnsi" w:hAnsiTheme="minorHAnsi"/>
          <w:sz w:val="22"/>
          <w:szCs w:val="22"/>
          <w:lang w:val="sr-Cyrl-BA"/>
        </w:rPr>
        <w:t>.</w:t>
      </w:r>
      <w:r w:rsidR="00867E96" w:rsidRPr="00C209BF">
        <w:rPr>
          <w:rFonts w:asciiTheme="minorHAnsi" w:hAnsiTheme="minorHAnsi"/>
          <w:sz w:val="22"/>
          <w:szCs w:val="22"/>
          <w:lang w:val="sr-Cyrl-BA"/>
        </w:rPr>
        <w:t xml:space="preserve"> </w:t>
      </w:r>
    </w:p>
    <w:p w:rsidR="001541BD" w:rsidRPr="00BB6411" w:rsidRDefault="00DD65E6" w:rsidP="00BB6411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О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обављеним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провјерама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рада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К</w:t>
      </w:r>
      <w:r>
        <w:rPr>
          <w:rFonts w:asciiTheme="minorHAnsi" w:hAnsiTheme="minorHAnsi"/>
          <w:sz w:val="22"/>
          <w:szCs w:val="22"/>
          <w:lang w:val="sr-Cyrl-BA"/>
        </w:rPr>
        <w:t>онцесионара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више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ће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бити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ријечи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дијелу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извјештаја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који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односи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анализу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стања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појединим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областима</w:t>
      </w:r>
      <w:r w:rsidR="00116F6A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додјељених</w:t>
      </w:r>
      <w:r w:rsidR="00116F6A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</w:t>
      </w:r>
      <w:r w:rsidR="00867E96" w:rsidRPr="00393D2C">
        <w:rPr>
          <w:rFonts w:asciiTheme="minorHAnsi" w:hAnsiTheme="minorHAnsi"/>
          <w:sz w:val="22"/>
          <w:szCs w:val="22"/>
          <w:lang w:val="sr-Cyrl-BA"/>
        </w:rPr>
        <w:t>.</w:t>
      </w:r>
    </w:p>
    <w:p w:rsidR="00D87094" w:rsidRPr="00BB6411" w:rsidRDefault="00D87094" w:rsidP="00BB6411">
      <w:pPr>
        <w:pStyle w:val="Heading2"/>
        <w:rPr>
          <w:noProof/>
          <w:color w:val="FF0000"/>
          <w:szCs w:val="26"/>
          <w:lang w:val="sr-Cyrl-BA"/>
        </w:rPr>
      </w:pPr>
      <w:bookmarkStart w:id="17" w:name="_Toc418075610"/>
      <w:bookmarkStart w:id="18" w:name="_Toc449404313"/>
      <w:r w:rsidRPr="00393D2C">
        <w:rPr>
          <w:noProof/>
        </w:rPr>
        <w:t>3.2.</w:t>
      </w:r>
      <w:r w:rsidRPr="00393D2C">
        <w:rPr>
          <w:noProof/>
          <w:lang w:val="sr-Latn-BA"/>
        </w:rPr>
        <w:t xml:space="preserve"> </w:t>
      </w:r>
      <w:r w:rsidR="00DD65E6">
        <w:rPr>
          <w:noProof/>
        </w:rPr>
        <w:t>Активности</w:t>
      </w:r>
      <w:r w:rsidRPr="00393D2C">
        <w:rPr>
          <w:noProof/>
        </w:rPr>
        <w:t xml:space="preserve"> </w:t>
      </w:r>
      <w:r w:rsidR="00DD65E6">
        <w:rPr>
          <w:noProof/>
        </w:rPr>
        <w:t>Комисије</w:t>
      </w:r>
      <w:r w:rsidRPr="00393D2C">
        <w:rPr>
          <w:noProof/>
        </w:rPr>
        <w:t xml:space="preserve"> </w:t>
      </w:r>
      <w:r w:rsidR="00DD65E6">
        <w:rPr>
          <w:noProof/>
        </w:rPr>
        <w:t>из</w:t>
      </w:r>
      <w:r w:rsidRPr="00393D2C">
        <w:rPr>
          <w:noProof/>
        </w:rPr>
        <w:t xml:space="preserve"> </w:t>
      </w:r>
      <w:r w:rsidR="00DD65E6">
        <w:rPr>
          <w:noProof/>
        </w:rPr>
        <w:t>области</w:t>
      </w:r>
      <w:r w:rsidRPr="00393D2C">
        <w:rPr>
          <w:noProof/>
        </w:rPr>
        <w:t xml:space="preserve"> </w:t>
      </w:r>
      <w:r w:rsidR="00DD65E6">
        <w:rPr>
          <w:noProof/>
        </w:rPr>
        <w:t>изградње</w:t>
      </w:r>
      <w:r w:rsidRPr="00393D2C">
        <w:rPr>
          <w:noProof/>
        </w:rPr>
        <w:t xml:space="preserve"> </w:t>
      </w:r>
      <w:r w:rsidR="00DD65E6">
        <w:rPr>
          <w:noProof/>
        </w:rPr>
        <w:t>и</w:t>
      </w:r>
      <w:r w:rsidRPr="00393D2C">
        <w:rPr>
          <w:noProof/>
        </w:rPr>
        <w:t xml:space="preserve"> </w:t>
      </w:r>
      <w:r w:rsidR="00DD65E6">
        <w:rPr>
          <w:noProof/>
        </w:rPr>
        <w:t>коришћења</w:t>
      </w:r>
      <w:r w:rsidRPr="00393D2C">
        <w:rPr>
          <w:noProof/>
        </w:rPr>
        <w:t xml:space="preserve"> </w:t>
      </w:r>
      <w:r w:rsidR="00BB6411">
        <w:rPr>
          <w:noProof/>
        </w:rPr>
        <w:t xml:space="preserve"> </w:t>
      </w:r>
      <w:r w:rsidR="00DD65E6">
        <w:rPr>
          <w:noProof/>
        </w:rPr>
        <w:t>енергетских</w:t>
      </w:r>
      <w:r w:rsidRPr="00393D2C">
        <w:rPr>
          <w:noProof/>
        </w:rPr>
        <w:t xml:space="preserve"> </w:t>
      </w:r>
      <w:r w:rsidR="00DD65E6">
        <w:rPr>
          <w:noProof/>
        </w:rPr>
        <w:t>објеката</w:t>
      </w:r>
      <w:bookmarkEnd w:id="17"/>
      <w:bookmarkEnd w:id="18"/>
      <w:r w:rsidRPr="00116F6A">
        <w:rPr>
          <w:noProof/>
          <w:color w:val="FF0000"/>
        </w:rPr>
        <w:t xml:space="preserve"> </w:t>
      </w:r>
    </w:p>
    <w:p w:rsidR="00D87094" w:rsidRPr="00393D2C" w:rsidRDefault="00D87094" w:rsidP="00BB6411">
      <w:pPr>
        <w:pStyle w:val="Heading3"/>
        <w:rPr>
          <w:lang w:val="sr-Latn-BA"/>
        </w:rPr>
      </w:pPr>
      <w:bookmarkStart w:id="19" w:name="_Toc418075611"/>
      <w:bookmarkStart w:id="20" w:name="_Toc449404314"/>
      <w:r w:rsidRPr="00393D2C">
        <w:t>3.2.1.</w:t>
      </w:r>
      <w:r w:rsidRPr="00393D2C">
        <w:rPr>
          <w:b/>
        </w:rPr>
        <w:t xml:space="preserve"> </w:t>
      </w:r>
      <w:r w:rsidR="00DD65E6">
        <w:t>Рјешења</w:t>
      </w:r>
      <w:r w:rsidRPr="00393D2C">
        <w:t xml:space="preserve"> </w:t>
      </w:r>
      <w:r w:rsidR="00DD65E6">
        <w:t>Комисије</w:t>
      </w:r>
      <w:bookmarkEnd w:id="19"/>
      <w:bookmarkEnd w:id="20"/>
    </w:p>
    <w:p w:rsidR="00D87094" w:rsidRPr="00393D2C" w:rsidRDefault="00DD65E6" w:rsidP="00D87094">
      <w:pPr>
        <w:spacing w:after="120"/>
        <w:jc w:val="both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Cyrl-BA"/>
        </w:rPr>
        <w:t>У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току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2015.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Министарство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инду</w:t>
      </w:r>
      <w:r>
        <w:rPr>
          <w:rFonts w:asciiTheme="minorHAnsi" w:hAnsiTheme="minorHAnsi"/>
          <w:sz w:val="22"/>
          <w:szCs w:val="22"/>
          <w:lang w:val="sr-Cyrl-CS"/>
        </w:rPr>
        <w:t>с</w:t>
      </w:r>
      <w:r>
        <w:rPr>
          <w:rFonts w:asciiTheme="minorHAnsi" w:hAnsiTheme="minorHAnsi"/>
          <w:sz w:val="22"/>
          <w:szCs w:val="22"/>
          <w:lang w:val="sr-Cyrl-BA"/>
        </w:rPr>
        <w:t>трије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енергетике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рударства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упутило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26 (</w:t>
      </w:r>
      <w:r>
        <w:rPr>
          <w:rFonts w:asciiTheme="minorHAnsi" w:hAnsiTheme="minorHAnsi"/>
          <w:sz w:val="22"/>
          <w:szCs w:val="22"/>
          <w:lang w:val="sr-Cyrl-BA"/>
        </w:rPr>
        <w:t>двадесетшест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) </w:t>
      </w:r>
      <w:r>
        <w:rPr>
          <w:rFonts w:asciiTheme="minorHAnsi" w:hAnsiTheme="minorHAnsi"/>
          <w:sz w:val="22"/>
          <w:szCs w:val="22"/>
          <w:lang w:val="sr-Cyrl-BA"/>
        </w:rPr>
        <w:t>захтјева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који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</w:rPr>
        <w:t>с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односили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рјешавање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предмета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изградње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коришћења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енергетских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објеката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донијела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упутила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Министарству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индустрије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енергетике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рударства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>:</w:t>
      </w:r>
    </w:p>
    <w:p w:rsidR="00D87094" w:rsidRPr="00393D2C" w:rsidRDefault="00D87094" w:rsidP="00B2144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393D2C">
        <w:rPr>
          <w:rFonts w:asciiTheme="minorHAnsi" w:hAnsiTheme="minorHAnsi"/>
          <w:sz w:val="22"/>
          <w:szCs w:val="22"/>
          <w:lang w:val="sr-Cyrl-BA"/>
        </w:rPr>
        <w:t>3</w:t>
      </w:r>
      <w:r w:rsidRPr="00393D2C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Рјешења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давању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на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Студију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економске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оправданости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; </w:t>
      </w:r>
    </w:p>
    <w:p w:rsidR="00D87094" w:rsidRPr="00393D2C" w:rsidRDefault="00D87094" w:rsidP="00B2144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393D2C">
        <w:rPr>
          <w:rFonts w:asciiTheme="minorHAnsi" w:hAnsiTheme="minorHAnsi"/>
          <w:sz w:val="22"/>
          <w:szCs w:val="22"/>
          <w:lang w:val="sr-Cyrl-BA"/>
        </w:rPr>
        <w:t>1</w:t>
      </w:r>
      <w:r w:rsidRPr="00393D2C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Рјешење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давању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на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документацију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за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јавно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надметање</w:t>
      </w:r>
      <w:r w:rsidRPr="00393D2C">
        <w:rPr>
          <w:rFonts w:asciiTheme="minorHAnsi" w:hAnsiTheme="minorHAnsi"/>
          <w:sz w:val="22"/>
          <w:szCs w:val="22"/>
          <w:lang w:val="sr-Cyrl-BA"/>
        </w:rPr>
        <w:t>;</w:t>
      </w:r>
    </w:p>
    <w:p w:rsidR="00D87094" w:rsidRPr="00393D2C" w:rsidRDefault="00D87094" w:rsidP="00B2144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393D2C">
        <w:rPr>
          <w:rFonts w:asciiTheme="minorHAnsi" w:hAnsiTheme="minorHAnsi"/>
          <w:sz w:val="22"/>
          <w:szCs w:val="22"/>
          <w:lang w:val="sr-Cyrl-BA"/>
        </w:rPr>
        <w:t>2</w:t>
      </w:r>
      <w:r w:rsidRPr="00393D2C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Закључка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Комисије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којима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се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враћају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Студије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економске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оправданости</w:t>
      </w:r>
      <w:r w:rsidRPr="00393D2C">
        <w:rPr>
          <w:rFonts w:asciiTheme="minorHAnsi" w:hAnsiTheme="minorHAnsi"/>
          <w:sz w:val="22"/>
          <w:szCs w:val="22"/>
          <w:lang w:val="sr-Cyrl-BA"/>
        </w:rPr>
        <w:t>;</w:t>
      </w:r>
    </w:p>
    <w:p w:rsidR="00D87094" w:rsidRPr="00393D2C" w:rsidRDefault="00D87094" w:rsidP="00B2144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393D2C">
        <w:rPr>
          <w:rFonts w:asciiTheme="minorHAnsi" w:hAnsiTheme="minorHAnsi"/>
          <w:sz w:val="22"/>
          <w:szCs w:val="22"/>
          <w:lang w:val="sr-Cyrl-BA"/>
        </w:rPr>
        <w:t xml:space="preserve">1 </w:t>
      </w:r>
      <w:r w:rsidR="00DD65E6">
        <w:rPr>
          <w:rFonts w:asciiTheme="minorHAnsi" w:hAnsiTheme="minorHAnsi"/>
          <w:sz w:val="22"/>
          <w:szCs w:val="22"/>
          <w:lang w:val="sr-Cyrl-BA"/>
        </w:rPr>
        <w:t>Рјешење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Комисије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којим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се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одбија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Студија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економске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оправданости</w:t>
      </w:r>
      <w:r w:rsidRPr="00393D2C">
        <w:rPr>
          <w:rFonts w:asciiTheme="minorHAnsi" w:hAnsiTheme="minorHAnsi"/>
          <w:sz w:val="22"/>
          <w:szCs w:val="22"/>
          <w:lang w:val="sr-Cyrl-BA"/>
        </w:rPr>
        <w:t>;</w:t>
      </w:r>
    </w:p>
    <w:p w:rsidR="00D87094" w:rsidRPr="00393D2C" w:rsidRDefault="00D87094" w:rsidP="00B2144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393D2C">
        <w:rPr>
          <w:rFonts w:asciiTheme="minorHAnsi" w:hAnsiTheme="minorHAnsi"/>
          <w:sz w:val="22"/>
          <w:szCs w:val="22"/>
          <w:lang w:val="sr-Cyrl-BA"/>
        </w:rPr>
        <w:t>3</w:t>
      </w:r>
      <w:r w:rsidRPr="00393D2C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Рјешења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давању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претходне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на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Приједлог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уговора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концесији</w:t>
      </w:r>
      <w:r w:rsidRPr="00393D2C">
        <w:rPr>
          <w:rFonts w:asciiTheme="minorHAnsi" w:hAnsiTheme="minorHAnsi"/>
          <w:sz w:val="22"/>
          <w:szCs w:val="22"/>
          <w:lang w:val="sr-Cyrl-BA"/>
        </w:rPr>
        <w:t>;</w:t>
      </w:r>
    </w:p>
    <w:p w:rsidR="00D87094" w:rsidRPr="00393D2C" w:rsidRDefault="00D87094" w:rsidP="00BB6411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sr-Cyrl-BA"/>
        </w:rPr>
      </w:pPr>
      <w:r w:rsidRPr="00393D2C">
        <w:rPr>
          <w:rFonts w:asciiTheme="minorHAnsi" w:hAnsiTheme="minorHAnsi"/>
          <w:sz w:val="22"/>
          <w:szCs w:val="22"/>
          <w:lang w:val="sr-Cyrl-BA"/>
        </w:rPr>
        <w:t>3</w:t>
      </w:r>
      <w:r w:rsidR="00BB6411">
        <w:rPr>
          <w:rFonts w:asciiTheme="minorHAnsi" w:hAnsiTheme="minorHAnsi"/>
          <w:sz w:val="22"/>
          <w:szCs w:val="22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Рјешења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давању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на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уступање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уговора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концесији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промјени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власничке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структуре</w:t>
      </w:r>
      <w:r w:rsidRPr="00393D2C">
        <w:rPr>
          <w:rFonts w:asciiTheme="minorHAnsi" w:hAnsiTheme="minorHAnsi"/>
          <w:sz w:val="22"/>
          <w:szCs w:val="22"/>
          <w:lang w:val="sr-Cyrl-BA"/>
        </w:rPr>
        <w:t>;</w:t>
      </w:r>
    </w:p>
    <w:p w:rsidR="00D87094" w:rsidRPr="00393D2C" w:rsidRDefault="00D87094" w:rsidP="00B2144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393D2C">
        <w:rPr>
          <w:rFonts w:asciiTheme="minorHAnsi" w:hAnsiTheme="minorHAnsi"/>
          <w:sz w:val="22"/>
          <w:szCs w:val="22"/>
          <w:lang w:val="sr-Cyrl-BA"/>
        </w:rPr>
        <w:t>13</w:t>
      </w:r>
      <w:r w:rsidRPr="00393D2C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Рјешења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давању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за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закључење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анекса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уговора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концесији</w:t>
      </w:r>
      <w:r w:rsidRPr="00393D2C">
        <w:rPr>
          <w:rFonts w:asciiTheme="minorHAnsi" w:hAnsiTheme="minorHAnsi"/>
          <w:sz w:val="22"/>
          <w:szCs w:val="22"/>
          <w:lang w:val="sr-Cyrl-BA"/>
        </w:rPr>
        <w:t>.</w:t>
      </w:r>
    </w:p>
    <w:p w:rsidR="00D87094" w:rsidRPr="00393D2C" w:rsidRDefault="00DD65E6" w:rsidP="00D87094">
      <w:pPr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BA"/>
        </w:rPr>
        <w:lastRenderedPageBreak/>
        <w:t>Министарство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индустрије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енергетике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рударства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доставило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3 (</w:t>
      </w:r>
      <w:r>
        <w:rPr>
          <w:rFonts w:asciiTheme="minorHAnsi" w:hAnsiTheme="minorHAnsi"/>
          <w:sz w:val="22"/>
          <w:szCs w:val="22"/>
          <w:lang w:val="sr-Cyrl-BA"/>
        </w:rPr>
        <w:t>три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) </w:t>
      </w:r>
      <w:r>
        <w:rPr>
          <w:rFonts w:asciiTheme="minorHAnsi" w:hAnsiTheme="minorHAnsi"/>
          <w:sz w:val="22"/>
          <w:szCs w:val="22"/>
          <w:lang w:val="sr-Cyrl-BA"/>
        </w:rPr>
        <w:t>закључена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концесији</w:t>
      </w:r>
      <w:r w:rsidR="00D87094" w:rsidRPr="00393D2C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изградње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енергетских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објеката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2015. </w:t>
      </w:r>
      <w:r>
        <w:rPr>
          <w:rFonts w:asciiTheme="minorHAnsi" w:hAnsiTheme="minorHAnsi"/>
          <w:sz w:val="22"/>
          <w:szCs w:val="22"/>
          <w:lang w:val="sr-Cyrl-CS"/>
        </w:rPr>
        <w:t>години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>.</w:t>
      </w:r>
    </w:p>
    <w:p w:rsidR="00D87094" w:rsidRPr="00393D2C" w:rsidRDefault="00DD65E6" w:rsidP="00D87094">
      <w:p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У</w:t>
      </w:r>
      <w:r w:rsidR="00BB6411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табелама</w:t>
      </w:r>
      <w:r w:rsidR="00BB6411">
        <w:rPr>
          <w:rFonts w:asciiTheme="minorHAnsi" w:hAnsiTheme="minorHAnsi"/>
          <w:sz w:val="22"/>
          <w:szCs w:val="22"/>
          <w:lang w:val="sr-Cyrl-BA"/>
        </w:rPr>
        <w:t xml:space="preserve"> 1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>,</w:t>
      </w:r>
      <w:r w:rsidR="00D87094" w:rsidRPr="00393D2C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B6411">
        <w:rPr>
          <w:rFonts w:asciiTheme="minorHAnsi" w:hAnsiTheme="minorHAnsi"/>
          <w:sz w:val="22"/>
          <w:szCs w:val="22"/>
          <w:lang w:val="sr-Cyrl-BA"/>
        </w:rPr>
        <w:t>2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>,</w:t>
      </w:r>
      <w:r w:rsidR="00D87094" w:rsidRPr="00393D2C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B6411">
        <w:rPr>
          <w:rFonts w:asciiTheme="minorHAnsi" w:hAnsiTheme="minorHAnsi"/>
          <w:sz w:val="22"/>
          <w:szCs w:val="22"/>
          <w:lang w:val="sr-Cyrl-BA"/>
        </w:rPr>
        <w:t>3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>,</w:t>
      </w:r>
      <w:r w:rsidR="00D87094" w:rsidRPr="00393D2C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B6411">
        <w:rPr>
          <w:rFonts w:asciiTheme="minorHAnsi" w:hAnsiTheme="minorHAnsi"/>
          <w:sz w:val="22"/>
          <w:szCs w:val="22"/>
          <w:lang w:val="sr-Cyrl-BA"/>
        </w:rPr>
        <w:t>4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>,</w:t>
      </w:r>
      <w:r w:rsidR="00D87094" w:rsidRPr="00393D2C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B6411">
        <w:rPr>
          <w:rFonts w:asciiTheme="minorHAnsi" w:hAnsiTheme="minorHAnsi"/>
          <w:sz w:val="22"/>
          <w:szCs w:val="22"/>
          <w:lang w:val="sr-Cyrl-BA"/>
        </w:rPr>
        <w:t>5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>,</w:t>
      </w:r>
      <w:r w:rsidR="00D87094" w:rsidRPr="00393D2C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B6411">
        <w:rPr>
          <w:rFonts w:asciiTheme="minorHAnsi" w:hAnsiTheme="minorHAnsi"/>
          <w:sz w:val="22"/>
          <w:szCs w:val="22"/>
          <w:lang w:val="sr-Cyrl-BA"/>
        </w:rPr>
        <w:t>6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>,</w:t>
      </w:r>
      <w:r w:rsidR="00D87094" w:rsidRPr="00393D2C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B6411">
        <w:rPr>
          <w:rFonts w:asciiTheme="minorHAnsi" w:hAnsiTheme="minorHAnsi"/>
          <w:sz w:val="22"/>
          <w:szCs w:val="22"/>
          <w:lang w:val="sr-Cyrl-CS"/>
        </w:rPr>
        <w:t>7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125233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BB6411">
        <w:rPr>
          <w:rFonts w:asciiTheme="minorHAnsi" w:hAnsiTheme="minorHAnsi"/>
          <w:sz w:val="22"/>
          <w:szCs w:val="22"/>
          <w:lang w:val="sr-Cyrl-CS"/>
        </w:rPr>
        <w:t>8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дат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преглед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закључених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р</w:t>
      </w:r>
      <w:r>
        <w:rPr>
          <w:rFonts w:asciiTheme="minorHAnsi" w:hAnsiTheme="minorHAnsi"/>
          <w:sz w:val="22"/>
          <w:szCs w:val="22"/>
          <w:lang w:val="sr-Cyrl-CS"/>
        </w:rPr>
        <w:t>јешења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закључака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2015. </w:t>
      </w:r>
      <w:r>
        <w:rPr>
          <w:rFonts w:asciiTheme="minorHAnsi" w:hAnsiTheme="minorHAnsi"/>
          <w:sz w:val="22"/>
          <w:szCs w:val="22"/>
          <w:lang w:val="sr-Cyrl-BA"/>
        </w:rPr>
        <w:t>години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изградње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енергетских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објеката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>.</w:t>
      </w:r>
    </w:p>
    <w:p w:rsidR="00DE09C6" w:rsidRDefault="00DE09C6" w:rsidP="00DE09C6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D87094" w:rsidRPr="00DE09C6" w:rsidRDefault="00DD65E6" w:rsidP="00DE09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615D76" w:rsidRPr="00DE09C6">
        <w:rPr>
          <w:rFonts w:asciiTheme="minorHAnsi" w:hAnsiTheme="minorHAnsi"/>
          <w:b/>
          <w:sz w:val="22"/>
          <w:szCs w:val="22"/>
          <w:lang w:val="ru-RU"/>
        </w:rPr>
        <w:t xml:space="preserve"> 1</w:t>
      </w:r>
      <w:r w:rsidR="00BB6411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D87094" w:rsidRPr="00DE09C6">
        <w:rPr>
          <w:rFonts w:asciiTheme="minorHAnsi" w:hAnsiTheme="minorHAnsi"/>
          <w:b/>
          <w:sz w:val="22"/>
          <w:szCs w:val="22"/>
          <w:lang w:val="sr-Latn-BA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sr-Cyrl-CS"/>
        </w:rPr>
        <w:t>Преглед</w:t>
      </w:r>
      <w:r w:rsidR="00D87094" w:rsidRPr="00DE09C6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закључених</w:t>
      </w:r>
      <w:r w:rsidR="00D87094" w:rsidRPr="00DE09C6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уговора</w:t>
      </w:r>
      <w:r w:rsidR="00D87094" w:rsidRPr="00DE09C6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о</w:t>
      </w:r>
      <w:r w:rsidR="00D87094" w:rsidRPr="00DE09C6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концесији</w:t>
      </w:r>
      <w:r w:rsidR="00D87094" w:rsidRPr="00DE09C6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D87094" w:rsidRPr="00DE09C6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D87094" w:rsidRPr="00DE09C6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изградње</w:t>
      </w:r>
      <w:r w:rsidR="00D87094" w:rsidRPr="00DE09C6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и</w:t>
      </w:r>
      <w:r w:rsidR="00D87094" w:rsidRPr="00DE09C6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коришћења</w:t>
      </w:r>
      <w:r w:rsidR="00D87094" w:rsidRPr="00DE09C6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енергетских</w:t>
      </w:r>
      <w:r w:rsidR="00D87094" w:rsidRPr="00DE09C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објеката</w:t>
      </w:r>
      <w:r w:rsidR="00D87094" w:rsidRPr="00DE09C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у</w:t>
      </w:r>
      <w:r w:rsidR="00D87094" w:rsidRPr="00DE09C6">
        <w:rPr>
          <w:rFonts w:asciiTheme="minorHAnsi" w:hAnsiTheme="minorHAnsi"/>
          <w:b/>
          <w:sz w:val="22"/>
          <w:szCs w:val="22"/>
        </w:rPr>
        <w:t xml:space="preserve"> 2015. </w:t>
      </w:r>
      <w:r>
        <w:rPr>
          <w:rFonts w:asciiTheme="minorHAnsi" w:hAnsiTheme="minorHAnsi"/>
          <w:b/>
          <w:sz w:val="22"/>
          <w:szCs w:val="22"/>
        </w:rPr>
        <w:t>години</w:t>
      </w:r>
      <w:r w:rsidR="00D87094" w:rsidRPr="00DE09C6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19"/>
        <w:gridCol w:w="3189"/>
        <w:gridCol w:w="1991"/>
        <w:gridCol w:w="1483"/>
      </w:tblGrid>
      <w:tr w:rsidR="00D87094" w:rsidRPr="00393D2C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7094" w:rsidRPr="00393D2C" w:rsidRDefault="00D87094" w:rsidP="00E37BA8">
            <w:pPr>
              <w:jc w:val="right"/>
              <w:rPr>
                <w:rFonts w:asciiTheme="minorHAnsi" w:hAnsiTheme="minorHAnsi"/>
                <w:b/>
                <w:lang w:val="sr-Cyrl-CS"/>
              </w:rPr>
            </w:pPr>
          </w:p>
          <w:p w:rsidR="00D87094" w:rsidRPr="00393D2C" w:rsidRDefault="00DD65E6" w:rsidP="00E37BA8">
            <w:pPr>
              <w:jc w:val="right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Концесионар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  <w:p w:rsidR="00D87094" w:rsidRPr="00393D2C" w:rsidRDefault="00DD65E6" w:rsidP="00A026C1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Бр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у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говора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7094" w:rsidRPr="00393D2C" w:rsidRDefault="00DD65E6" w:rsidP="00A026C1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закључења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уговора</w:t>
            </w:r>
          </w:p>
        </w:tc>
      </w:tr>
      <w:tr w:rsidR="00D87094" w:rsidRPr="00393D2C" w:rsidTr="00E37BA8">
        <w:trPr>
          <w:trHeight w:val="10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Latn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rPr>
                <w:rFonts w:ascii="Calibri" w:hAnsi="Calibri"/>
              </w:rPr>
            </w:pPr>
          </w:p>
          <w:p w:rsidR="00D87094" w:rsidRPr="00393D2C" w:rsidRDefault="00DD65E6" w:rsidP="00E37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МЕДОШ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ОНЕ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д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о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о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Бања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Лука</w:t>
            </w:r>
          </w:p>
          <w:p w:rsidR="00D87094" w:rsidRPr="00393D2C" w:rsidRDefault="00D87094" w:rsidP="00E37BA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Уговор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концесији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за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изградњу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и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коришћење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МХЕ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Медош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“,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снаге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3,975 </w:t>
            </w:r>
            <w:r>
              <w:rPr>
                <w:rFonts w:ascii="Calibri" w:hAnsi="Calibri"/>
                <w:sz w:val="22"/>
                <w:szCs w:val="22"/>
                <w:lang w:val="sr-Latn-BA"/>
              </w:rPr>
              <w:t>М</w:t>
            </w:r>
            <w:r w:rsidR="00D87094" w:rsidRPr="00393D2C">
              <w:rPr>
                <w:rFonts w:ascii="Calibri" w:hAnsi="Calibri"/>
                <w:sz w:val="22"/>
                <w:szCs w:val="22"/>
                <w:lang w:val="sr-Latn-BA"/>
              </w:rPr>
              <w:t>W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на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Дрињачи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општ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Зворник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05.05/020-</w:t>
            </w:r>
            <w:r w:rsidRPr="00393D2C">
              <w:rPr>
                <w:rFonts w:asciiTheme="minorHAnsi" w:hAnsiTheme="minorHAnsi"/>
                <w:sz w:val="22"/>
                <w:szCs w:val="22"/>
              </w:rPr>
              <w:t>651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/1</w:t>
            </w:r>
            <w:r w:rsidRPr="00393D2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="Calibri" w:hAnsi="Calibri"/>
              </w:rPr>
            </w:pPr>
          </w:p>
          <w:p w:rsidR="00D87094" w:rsidRPr="00393D2C" w:rsidRDefault="00D87094" w:rsidP="00E37BA8">
            <w:pPr>
              <w:jc w:val="center"/>
              <w:rPr>
                <w:rFonts w:ascii="Calibri" w:hAnsi="Calibri"/>
              </w:rPr>
            </w:pPr>
            <w:r w:rsidRPr="00393D2C">
              <w:rPr>
                <w:rFonts w:ascii="Calibri" w:hAnsi="Calibri"/>
                <w:sz w:val="22"/>
                <w:szCs w:val="22"/>
              </w:rPr>
              <w:t>11.03.2015.</w:t>
            </w:r>
          </w:p>
          <w:p w:rsidR="00D87094" w:rsidRPr="00393D2C" w:rsidRDefault="00D87094" w:rsidP="00E37BA8">
            <w:pPr>
              <w:jc w:val="center"/>
              <w:rPr>
                <w:rFonts w:asciiTheme="minorHAnsi" w:hAnsiTheme="minorHAnsi" w:cs="Calibri"/>
                <w:lang w:val="sr-Cyrl-CS"/>
              </w:rPr>
            </w:pPr>
          </w:p>
        </w:tc>
      </w:tr>
      <w:tr w:rsidR="00D87094" w:rsidRPr="00393D2C" w:rsidTr="00E37BA8">
        <w:trPr>
          <w:trHeight w:val="8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</w:rPr>
            </w:pPr>
            <w:r w:rsidRPr="00393D2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МХ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 xml:space="preserve"> "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Електропривреда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РС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 xml:space="preserve">" -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МП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а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д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Требиње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Уговор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концесији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за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изградњу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и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коришћење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вјетроелектране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Хргуд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“,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снаге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48 </w:t>
            </w:r>
            <w:r>
              <w:rPr>
                <w:rFonts w:ascii="Calibri" w:hAnsi="Calibri"/>
                <w:sz w:val="22"/>
                <w:szCs w:val="22"/>
                <w:lang w:val="sr-Latn-BA"/>
              </w:rPr>
              <w:t>М</w:t>
            </w:r>
            <w:r w:rsidR="00D87094" w:rsidRPr="00393D2C">
              <w:rPr>
                <w:rFonts w:ascii="Calibri" w:hAnsi="Calibri"/>
                <w:sz w:val="22"/>
                <w:szCs w:val="22"/>
                <w:lang w:val="sr-Latn-BA"/>
              </w:rPr>
              <w:t xml:space="preserve">W,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општ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Берковићи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</w:rPr>
            </w:pPr>
            <w:r w:rsidRPr="00393D2C">
              <w:rPr>
                <w:rFonts w:asciiTheme="minorHAnsi" w:hAnsiTheme="minorHAnsi"/>
                <w:sz w:val="22"/>
                <w:szCs w:val="22"/>
              </w:rPr>
              <w:t>05.01/360-191/15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="Calibri" w:hAnsi="Calibri"/>
                <w:lang w:val="sr-Cyrl-BA"/>
              </w:rPr>
            </w:pPr>
          </w:p>
          <w:p w:rsidR="00D87094" w:rsidRPr="00393D2C" w:rsidRDefault="00D87094" w:rsidP="00E37BA8">
            <w:pPr>
              <w:jc w:val="center"/>
              <w:rPr>
                <w:rFonts w:ascii="Calibri" w:hAnsi="Calibri"/>
                <w:lang w:val="sr-Cyrl-BA"/>
              </w:rPr>
            </w:pPr>
            <w:r w:rsidRPr="00393D2C">
              <w:rPr>
                <w:rFonts w:ascii="Calibri" w:hAnsi="Calibri"/>
                <w:sz w:val="22"/>
                <w:szCs w:val="22"/>
              </w:rPr>
              <w:t>28.09.2015</w:t>
            </w:r>
            <w:r w:rsidRPr="00393D2C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</w:p>
          <w:p w:rsidR="00D87094" w:rsidRPr="00393D2C" w:rsidRDefault="00D87094" w:rsidP="00E37BA8">
            <w:pPr>
              <w:jc w:val="center"/>
              <w:rPr>
                <w:rFonts w:asciiTheme="minorHAnsi" w:hAnsiTheme="minorHAnsi" w:cs="Calibri"/>
                <w:lang w:val="sr-Cyrl-BA"/>
              </w:rPr>
            </w:pPr>
          </w:p>
        </w:tc>
      </w:tr>
      <w:tr w:rsidR="00D87094" w:rsidRPr="00393D2C" w:rsidTr="00E37BA8">
        <w:trPr>
          <w:trHeight w:val="8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highlight w:val="yellow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rPr>
                <w:rFonts w:ascii="Calibri" w:hAnsi="Calibri"/>
                <w:lang w:val="sr-Cyrl-BA"/>
              </w:rPr>
            </w:pPr>
          </w:p>
          <w:p w:rsidR="00D87094" w:rsidRPr="00393D2C" w:rsidRDefault="00DD65E6" w:rsidP="00E37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Х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ДРО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ПО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ЕР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ГРОУП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д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о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о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Бања</w:t>
            </w:r>
            <w:r w:rsidR="00D87094" w:rsidRPr="00393D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Лука</w:t>
            </w:r>
          </w:p>
          <w:p w:rsidR="00D87094" w:rsidRPr="00393D2C" w:rsidRDefault="00D87094" w:rsidP="00E37BA8">
            <w:pPr>
              <w:rPr>
                <w:rFonts w:asciiTheme="minorHAnsi" w:hAnsiTheme="minorHAnsi"/>
                <w:lang w:val="sr-Latn-B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Уговор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концесији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за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изградњу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и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коришћење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хидроенергетског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система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Језерница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>“</w:t>
            </w:r>
            <w:r w:rsidR="00D87094" w:rsidRPr="00393D2C">
              <w:rPr>
                <w:rFonts w:ascii="Calibri" w:hAnsi="Calibri"/>
                <w:sz w:val="22"/>
                <w:szCs w:val="22"/>
                <w:lang w:val="sr-Latn-BA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снаге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6,78 </w:t>
            </w:r>
            <w:r>
              <w:rPr>
                <w:rFonts w:ascii="Calibri" w:hAnsi="Calibri"/>
                <w:sz w:val="22"/>
                <w:szCs w:val="22"/>
                <w:lang w:val="sr-Latn-BA"/>
              </w:rPr>
              <w:t>М</w:t>
            </w:r>
            <w:r w:rsidR="00D87094" w:rsidRPr="00393D2C">
              <w:rPr>
                <w:rFonts w:ascii="Calibri" w:hAnsi="Calibri"/>
                <w:sz w:val="22"/>
                <w:szCs w:val="22"/>
                <w:lang w:val="sr-Latn-BA"/>
              </w:rPr>
              <w:t>W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на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сливу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ријеке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Језернице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општ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Калиновик</w:t>
            </w:r>
            <w:r w:rsidR="00D87094" w:rsidRPr="00393D2C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05.05/360-244/15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="Calibri" w:hAnsi="Calibri"/>
                <w:lang w:val="sr-Cyrl-BA"/>
              </w:rPr>
            </w:pPr>
          </w:p>
          <w:p w:rsidR="00D87094" w:rsidRPr="00393D2C" w:rsidRDefault="00D87094" w:rsidP="00E37BA8">
            <w:pPr>
              <w:jc w:val="center"/>
              <w:rPr>
                <w:rFonts w:ascii="Calibri" w:hAnsi="Calibri"/>
                <w:lang w:val="sr-Cyrl-BA"/>
              </w:rPr>
            </w:pPr>
            <w:r w:rsidRPr="00393D2C">
              <w:rPr>
                <w:rFonts w:ascii="Calibri" w:hAnsi="Calibri"/>
                <w:sz w:val="22"/>
                <w:szCs w:val="22"/>
              </w:rPr>
              <w:t>27.11.2015</w:t>
            </w:r>
            <w:r w:rsidRPr="00393D2C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</w:p>
          <w:p w:rsidR="00D87094" w:rsidRPr="00393D2C" w:rsidRDefault="00D87094" w:rsidP="00E37BA8">
            <w:pPr>
              <w:jc w:val="center"/>
              <w:rPr>
                <w:rFonts w:asciiTheme="minorHAnsi" w:hAnsiTheme="minorHAnsi" w:cs="Calibri"/>
                <w:lang w:val="sr-Cyrl-CS"/>
              </w:rPr>
            </w:pPr>
          </w:p>
        </w:tc>
      </w:tr>
    </w:tbl>
    <w:p w:rsidR="00D87094" w:rsidRPr="00393D2C" w:rsidRDefault="00DD65E6" w:rsidP="00D87094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Укупно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су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закључена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3</w:t>
      </w:r>
      <w:r w:rsidR="00D87094" w:rsidRPr="00393D2C">
        <w:rPr>
          <w:rFonts w:asciiTheme="minorHAnsi" w:hAnsiTheme="minorHAnsi" w:cs="Calibri"/>
          <w:b/>
          <w:sz w:val="22"/>
          <w:szCs w:val="22"/>
          <w:lang w:val="sr-Cyrl-CS"/>
        </w:rPr>
        <w:t xml:space="preserve"> 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>(</w:t>
      </w:r>
      <w:r>
        <w:rPr>
          <w:rFonts w:asciiTheme="minorHAnsi" w:hAnsiTheme="minorHAnsi" w:cs="Calibri"/>
          <w:sz w:val="22"/>
          <w:szCs w:val="22"/>
          <w:lang w:val="sr-Cyrl-CS"/>
        </w:rPr>
        <w:t>три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) </w:t>
      </w:r>
      <w:r>
        <w:rPr>
          <w:rFonts w:asciiTheme="minorHAnsi" w:hAnsiTheme="minorHAnsi" w:cs="Calibri"/>
          <w:sz w:val="22"/>
          <w:szCs w:val="22"/>
          <w:lang w:val="sr-Cyrl-CS"/>
        </w:rPr>
        <w:t>уговора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концесији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области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изградње</w:t>
      </w:r>
      <w:r w:rsidR="00D87094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енергетских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објеката</w:t>
      </w:r>
      <w:r w:rsidR="00CD167F" w:rsidRPr="00393D2C">
        <w:rPr>
          <w:rFonts w:asciiTheme="minorHAnsi" w:hAnsiTheme="minorHAnsi" w:cs="Calibri"/>
          <w:sz w:val="22"/>
          <w:szCs w:val="22"/>
          <w:lang w:val="sr-Cyrl-CS"/>
        </w:rPr>
        <w:t>.</w:t>
      </w:r>
    </w:p>
    <w:p w:rsidR="00A12AC7" w:rsidRPr="00393D2C" w:rsidRDefault="00A12AC7" w:rsidP="00D87094">
      <w:pPr>
        <w:jc w:val="both"/>
        <w:rPr>
          <w:rFonts w:asciiTheme="minorHAnsi" w:hAnsiTheme="minorHAnsi"/>
          <w:b/>
          <w:sz w:val="22"/>
          <w:szCs w:val="22"/>
          <w:highlight w:val="yellow"/>
          <w:lang w:val="sr-Cyrl-BA"/>
        </w:rPr>
      </w:pPr>
    </w:p>
    <w:p w:rsidR="00A12AC7" w:rsidRPr="00393D2C" w:rsidRDefault="00A12AC7" w:rsidP="00D87094">
      <w:pPr>
        <w:jc w:val="both"/>
        <w:rPr>
          <w:rFonts w:asciiTheme="minorHAnsi" w:hAnsiTheme="minorHAnsi"/>
          <w:b/>
          <w:sz w:val="22"/>
          <w:szCs w:val="22"/>
          <w:highlight w:val="yellow"/>
          <w:lang w:val="sr-Cyrl-BA"/>
        </w:rPr>
      </w:pPr>
    </w:p>
    <w:p w:rsidR="00D87094" w:rsidRPr="00393D2C" w:rsidRDefault="00DD65E6" w:rsidP="00D8709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615D76" w:rsidRPr="00393D2C">
        <w:rPr>
          <w:rFonts w:asciiTheme="minorHAnsi" w:hAnsiTheme="minorHAnsi"/>
          <w:b/>
          <w:sz w:val="22"/>
          <w:szCs w:val="22"/>
          <w:lang w:val="ru-RU"/>
        </w:rPr>
        <w:t>2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давању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сагласности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на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Студије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економске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оправданости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изградње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коришћења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енергетских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објеката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26"/>
        <w:gridCol w:w="2596"/>
        <w:gridCol w:w="1935"/>
        <w:gridCol w:w="1758"/>
      </w:tblGrid>
      <w:tr w:rsidR="00D87094" w:rsidRPr="00393D2C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D87094" w:rsidRPr="00393D2C" w:rsidTr="00E37BA8">
        <w:trPr>
          <w:trHeight w:val="8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Студија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економске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оправданости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</w:p>
          <w:p w:rsidR="00D87094" w:rsidRPr="00393D2C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изградњу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вјетроелектране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Хргуд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Берковићи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студију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Берковићи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12.05.2015.</w:t>
            </w:r>
          </w:p>
        </w:tc>
      </w:tr>
      <w:tr w:rsidR="00D87094" w:rsidRPr="00393D2C" w:rsidTr="00E37BA8">
        <w:trPr>
          <w:trHeight w:val="12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Студија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економске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оправданости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изградњу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коришћење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ХЕС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Горња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Неретва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Неретви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студију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Неретви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18.06.2015.</w:t>
            </w:r>
          </w:p>
        </w:tc>
      </w:tr>
      <w:tr w:rsidR="00D87094" w:rsidRPr="00393D2C" w:rsidTr="00E37BA8">
        <w:trPr>
          <w:trHeight w:val="12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Студија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економске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оправданости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изградњу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коришћење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МХЕ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Новаковићи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Угар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студију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Угар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05.11.2015.</w:t>
            </w:r>
          </w:p>
        </w:tc>
      </w:tr>
    </w:tbl>
    <w:p w:rsidR="00D87094" w:rsidRPr="00393D2C" w:rsidRDefault="00DD65E6" w:rsidP="00D87094">
      <w:pPr>
        <w:jc w:val="both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Укупно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су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дате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3</w:t>
      </w:r>
      <w:r w:rsidR="00D87094" w:rsidRPr="00393D2C">
        <w:rPr>
          <w:rFonts w:asciiTheme="minorHAnsi" w:hAnsiTheme="minorHAnsi" w:cs="Calibri"/>
          <w:b/>
          <w:sz w:val="22"/>
          <w:szCs w:val="22"/>
          <w:lang w:val="sr-Cyrl-CS"/>
        </w:rPr>
        <w:t xml:space="preserve"> 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>(</w:t>
      </w:r>
      <w:r>
        <w:rPr>
          <w:rFonts w:asciiTheme="minorHAnsi" w:hAnsiTheme="minorHAnsi" w:cs="Calibri"/>
          <w:sz w:val="22"/>
          <w:szCs w:val="22"/>
          <w:lang w:val="sr-Cyrl-CS"/>
        </w:rPr>
        <w:t>три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) </w:t>
      </w:r>
      <w:r>
        <w:rPr>
          <w:rFonts w:asciiTheme="minorHAnsi" w:hAnsiTheme="minorHAnsi" w:cs="Calibri"/>
          <w:sz w:val="22"/>
          <w:szCs w:val="22"/>
          <w:lang w:val="sr-Cyrl-CS"/>
        </w:rPr>
        <w:t>сагласности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Студиј</w:t>
      </w: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економске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оправданости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изградње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CD167F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коришћења</w:t>
      </w:r>
      <w:r w:rsidR="00CD167F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енергетских</w:t>
      </w:r>
      <w:r w:rsidR="00CD167F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објеката</w:t>
      </w:r>
      <w:r w:rsidR="00CD167F" w:rsidRPr="00393D2C">
        <w:rPr>
          <w:rFonts w:asciiTheme="minorHAnsi" w:hAnsiTheme="minorHAnsi"/>
          <w:sz w:val="22"/>
          <w:szCs w:val="22"/>
          <w:lang w:val="sr-Cyrl-CS"/>
        </w:rPr>
        <w:t>.</w:t>
      </w:r>
    </w:p>
    <w:p w:rsidR="00D87094" w:rsidRPr="00393D2C" w:rsidRDefault="00D87094" w:rsidP="00D87094">
      <w:pPr>
        <w:jc w:val="both"/>
        <w:rPr>
          <w:rFonts w:asciiTheme="minorHAnsi" w:hAnsiTheme="minorHAnsi"/>
          <w:sz w:val="22"/>
          <w:szCs w:val="22"/>
          <w:highlight w:val="yellow"/>
          <w:lang w:val="sr-Cyrl-CS"/>
        </w:rPr>
      </w:pPr>
    </w:p>
    <w:p w:rsidR="00D87094" w:rsidRPr="00393D2C" w:rsidRDefault="00DD65E6" w:rsidP="00D8709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lastRenderedPageBreak/>
        <w:t>Табела</w:t>
      </w:r>
      <w:r w:rsidR="00615D76" w:rsidRPr="00393D2C">
        <w:rPr>
          <w:rFonts w:asciiTheme="minorHAnsi" w:hAnsiTheme="minorHAnsi"/>
          <w:b/>
          <w:sz w:val="22"/>
          <w:szCs w:val="22"/>
          <w:lang w:val="ru-RU"/>
        </w:rPr>
        <w:t xml:space="preserve"> 3</w:t>
      </w:r>
      <w:r w:rsidR="00A026C1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давање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сагласности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на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документацију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јавно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надметање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изградње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коришћења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енергетских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објеката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26"/>
        <w:gridCol w:w="2596"/>
        <w:gridCol w:w="1935"/>
        <w:gridCol w:w="1758"/>
      </w:tblGrid>
      <w:tr w:rsidR="00D87094" w:rsidRPr="00393D2C" w:rsidTr="00E37BA8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D87094" w:rsidRPr="00393D2C" w:rsidTr="00E37BA8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4" w:rsidRPr="00393D2C" w:rsidRDefault="00DD65E6" w:rsidP="00E37BA8">
            <w:pPr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документацију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надметање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додјелу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концесије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изградњу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хидроенергетског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система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Језерница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сливу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ријеке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Језернице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Калиновик</w:t>
            </w:r>
          </w:p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09.07.2015.</w:t>
            </w:r>
          </w:p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</w:tbl>
    <w:p w:rsidR="00D87094" w:rsidRDefault="00DD65E6" w:rsidP="00D870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u-RU"/>
        </w:rPr>
        <w:t>Укупно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је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дата</w:t>
      </w:r>
      <w:r w:rsidR="00D87094" w:rsidRPr="00393D2C">
        <w:rPr>
          <w:rFonts w:asciiTheme="minorHAnsi" w:hAnsiTheme="minorHAnsi"/>
          <w:sz w:val="22"/>
          <w:szCs w:val="22"/>
          <w:lang w:val="sr-Latn-BA"/>
        </w:rPr>
        <w:t xml:space="preserve"> 1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(</w:t>
      </w:r>
      <w:r>
        <w:rPr>
          <w:rFonts w:asciiTheme="minorHAnsi" w:hAnsiTheme="minorHAnsi"/>
          <w:sz w:val="22"/>
          <w:szCs w:val="22"/>
          <w:lang w:val="ru-RU"/>
        </w:rPr>
        <w:t>једна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) </w:t>
      </w:r>
      <w:r>
        <w:rPr>
          <w:rFonts w:asciiTheme="minorHAnsi" w:hAnsiTheme="minorHAnsi"/>
          <w:sz w:val="22"/>
          <w:szCs w:val="22"/>
          <w:lang w:val="ru-RU"/>
        </w:rPr>
        <w:t>сагласност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документацију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за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јавно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надметање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из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области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изградње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E43222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коришћења</w:t>
      </w:r>
      <w:r w:rsidR="00E43222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енергетских</w:t>
      </w:r>
      <w:r w:rsidR="00E43222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објеката</w:t>
      </w:r>
      <w:r w:rsidR="00E43222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E43222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вријеме</w:t>
      </w:r>
      <w:r w:rsidR="00E43222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Старог</w:t>
      </w:r>
      <w:r w:rsidR="00E43222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сазива</w:t>
      </w:r>
      <w:r w:rsidR="00E43222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Комисије</w:t>
      </w:r>
      <w:r w:rsidR="00E43222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E43222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E43222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Републике</w:t>
      </w:r>
      <w:r w:rsidR="00E43222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Српске</w:t>
      </w:r>
      <w:r w:rsidR="00E43222" w:rsidRPr="00393D2C">
        <w:rPr>
          <w:rFonts w:asciiTheme="minorHAnsi" w:hAnsiTheme="minorHAnsi"/>
          <w:sz w:val="22"/>
          <w:szCs w:val="22"/>
          <w:lang w:val="sr-Cyrl-CS"/>
        </w:rPr>
        <w:t>.</w:t>
      </w:r>
    </w:p>
    <w:p w:rsidR="00240C6A" w:rsidRDefault="00240C6A" w:rsidP="00D87094">
      <w:pPr>
        <w:jc w:val="both"/>
        <w:rPr>
          <w:rFonts w:asciiTheme="minorHAnsi" w:hAnsiTheme="minorHAnsi"/>
          <w:sz w:val="22"/>
          <w:szCs w:val="22"/>
        </w:rPr>
      </w:pPr>
    </w:p>
    <w:p w:rsidR="00240C6A" w:rsidRPr="00240C6A" w:rsidRDefault="00240C6A" w:rsidP="00D87094">
      <w:pPr>
        <w:jc w:val="both"/>
        <w:rPr>
          <w:rFonts w:asciiTheme="minorHAnsi" w:hAnsiTheme="minorHAnsi"/>
          <w:sz w:val="22"/>
          <w:szCs w:val="22"/>
        </w:rPr>
      </w:pPr>
    </w:p>
    <w:p w:rsidR="004A241A" w:rsidRDefault="004A241A" w:rsidP="00DE63E2">
      <w:pPr>
        <w:pStyle w:val="NoSpacing"/>
        <w:rPr>
          <w:rFonts w:asciiTheme="minorHAnsi" w:hAnsiTheme="minorHAnsi"/>
          <w:b/>
          <w:sz w:val="22"/>
          <w:szCs w:val="22"/>
          <w:lang w:val="ru-RU"/>
        </w:rPr>
      </w:pPr>
    </w:p>
    <w:p w:rsidR="00D87094" w:rsidRPr="00393D2C" w:rsidRDefault="00DD65E6" w:rsidP="00DE63E2">
      <w:pPr>
        <w:pStyle w:val="NoSpacing"/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615D76" w:rsidRPr="00393D2C">
        <w:rPr>
          <w:rFonts w:asciiTheme="minorHAnsi" w:hAnsiTheme="minorHAnsi"/>
          <w:b/>
          <w:sz w:val="22"/>
          <w:szCs w:val="22"/>
          <w:lang w:val="ru-RU"/>
        </w:rPr>
        <w:t xml:space="preserve"> 4</w:t>
      </w:r>
      <w:r w:rsidR="00A026C1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– </w:t>
      </w:r>
      <w:r>
        <w:rPr>
          <w:rFonts w:asciiTheme="minorHAnsi" w:hAnsiTheme="minorHAnsi"/>
          <w:b/>
          <w:sz w:val="22"/>
          <w:szCs w:val="22"/>
          <w:lang w:val="ru-RU"/>
        </w:rPr>
        <w:t>Закључци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концесије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којима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враћају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Студије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економске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оправданости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изградње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коришћења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енергетских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објеката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26"/>
        <w:gridCol w:w="2596"/>
        <w:gridCol w:w="1935"/>
        <w:gridCol w:w="1758"/>
      </w:tblGrid>
      <w:tr w:rsidR="00D87094" w:rsidRPr="00393D2C" w:rsidTr="00E37BA8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Закључка</w:t>
            </w:r>
          </w:p>
        </w:tc>
      </w:tr>
      <w:tr w:rsidR="00D87094" w:rsidRPr="00393D2C" w:rsidTr="00DE63E2">
        <w:trPr>
          <w:trHeight w:val="4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4" w:rsidRPr="00393D2C" w:rsidRDefault="00DD65E6" w:rsidP="00E37BA8">
            <w:pPr>
              <w:rPr>
                <w:rFonts w:asciiTheme="minorHAnsi" w:hAnsiTheme="minorHAnsi"/>
                <w:lang w:val="sr-Latn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Студија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економске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оправданости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продужење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концесионог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ХЕ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Устипрача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Прачи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Враћа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Студија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економске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оправданости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концесионара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Хидроинвест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Рогатица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сугерише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ријеше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вл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односи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Концесионару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Прачи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Рогатица</w:t>
            </w:r>
          </w:p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08.09.2015.</w:t>
            </w:r>
          </w:p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D87094" w:rsidRPr="00393D2C" w:rsidTr="00E37BA8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4" w:rsidRPr="00393D2C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Студија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економске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оправданости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продужење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концесионог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ХЕ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Дуб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Прачи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Враћа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Студија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економске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оправданости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концесионара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Хидроинвест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Рогатица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сугерише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ријеше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вл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односи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Концесионару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Прачи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Рогатица</w:t>
            </w:r>
          </w:p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08.09.2015.</w:t>
            </w:r>
          </w:p>
        </w:tc>
      </w:tr>
    </w:tbl>
    <w:p w:rsidR="00D87094" w:rsidRPr="00393D2C" w:rsidRDefault="00DD65E6" w:rsidP="00D870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u-RU"/>
        </w:rPr>
        <w:t>Укупно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су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донесена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2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>(</w:t>
      </w:r>
      <w:r>
        <w:rPr>
          <w:rFonts w:asciiTheme="minorHAnsi" w:hAnsiTheme="minorHAnsi"/>
          <w:sz w:val="22"/>
          <w:szCs w:val="22"/>
          <w:lang w:val="ru-RU"/>
        </w:rPr>
        <w:t>два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) </w:t>
      </w:r>
      <w:r>
        <w:rPr>
          <w:rFonts w:asciiTheme="minorHAnsi" w:hAnsiTheme="minorHAnsi"/>
          <w:sz w:val="22"/>
          <w:szCs w:val="22"/>
          <w:lang w:val="ru-RU"/>
        </w:rPr>
        <w:t>Закључка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Комисије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којима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враћају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Студије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економске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оправданости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из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области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изградње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</w:t>
      </w:r>
      <w:r w:rsidR="003E346C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коришћења</w:t>
      </w:r>
      <w:r w:rsidR="003E346C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енергетских</w:t>
      </w:r>
      <w:r w:rsidR="003E346C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објеката</w:t>
      </w:r>
      <w:r w:rsidR="003E346C" w:rsidRPr="00393D2C">
        <w:rPr>
          <w:rFonts w:asciiTheme="minorHAnsi" w:hAnsiTheme="minorHAnsi"/>
          <w:sz w:val="22"/>
          <w:szCs w:val="22"/>
        </w:rPr>
        <w:t>.</w:t>
      </w:r>
    </w:p>
    <w:p w:rsidR="004A241A" w:rsidRDefault="004A241A" w:rsidP="00D8709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A402FE" w:rsidRDefault="00A402FE" w:rsidP="00D8709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A402FE" w:rsidRDefault="00A402FE" w:rsidP="00D8709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A402FE" w:rsidRDefault="00A402FE" w:rsidP="00D8709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A402FE" w:rsidRDefault="00A402FE" w:rsidP="00D8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240C6A" w:rsidRDefault="00240C6A" w:rsidP="00D8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240C6A" w:rsidRDefault="00240C6A" w:rsidP="00D8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240C6A" w:rsidRDefault="00240C6A" w:rsidP="00D8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240C6A" w:rsidRDefault="00240C6A" w:rsidP="00D8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240C6A" w:rsidRDefault="00240C6A" w:rsidP="00D8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240C6A" w:rsidRPr="00240C6A" w:rsidRDefault="00240C6A" w:rsidP="00D8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D87094" w:rsidRPr="00393D2C" w:rsidRDefault="00DD65E6" w:rsidP="00D8709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lastRenderedPageBreak/>
        <w:t>Табела</w:t>
      </w:r>
      <w:r w:rsidR="00615D76" w:rsidRPr="00393D2C">
        <w:rPr>
          <w:rFonts w:asciiTheme="minorHAnsi" w:hAnsiTheme="minorHAnsi"/>
          <w:b/>
          <w:sz w:val="22"/>
          <w:szCs w:val="22"/>
          <w:lang w:val="ru-RU"/>
        </w:rPr>
        <w:t xml:space="preserve"> 5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концесије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којима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одбијају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Студије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економске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оправданости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изградње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коришћења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енергетских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објеката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53"/>
        <w:gridCol w:w="2376"/>
        <w:gridCol w:w="2397"/>
        <w:gridCol w:w="1689"/>
      </w:tblGrid>
      <w:tr w:rsidR="00D87094" w:rsidRPr="00393D2C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D87094" w:rsidRPr="00393D2C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Студија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економске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оправданости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продужење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концесионог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периода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изградњу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МХЕ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Брегави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путем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преговарачког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поступка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Одбија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Студија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економске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оправданости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концесионара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Страјко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Требиње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јер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сматра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захтјев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преурањен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МХЕ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Брегави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08.09.2015.</w:t>
            </w:r>
          </w:p>
        </w:tc>
      </w:tr>
    </w:tbl>
    <w:p w:rsidR="00D87094" w:rsidRPr="00393D2C" w:rsidRDefault="00DD65E6" w:rsidP="008A564D">
      <w:pPr>
        <w:spacing w:after="24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Укупно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је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донесено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1 (</w:t>
      </w:r>
      <w:r>
        <w:rPr>
          <w:rFonts w:asciiTheme="minorHAnsi" w:hAnsiTheme="minorHAnsi"/>
          <w:sz w:val="22"/>
          <w:szCs w:val="22"/>
          <w:lang w:val="ru-RU"/>
        </w:rPr>
        <w:t>једно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) </w:t>
      </w:r>
      <w:r>
        <w:rPr>
          <w:rFonts w:asciiTheme="minorHAnsi" w:hAnsiTheme="minorHAnsi"/>
          <w:sz w:val="22"/>
          <w:szCs w:val="22"/>
          <w:lang w:val="ru-RU"/>
        </w:rPr>
        <w:t>Рјешење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којим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се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одбија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Студија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економске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изградње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енергетских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објеката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>.</w:t>
      </w:r>
    </w:p>
    <w:p w:rsidR="00D87094" w:rsidRPr="00393D2C" w:rsidRDefault="00DD65E6" w:rsidP="00D87094">
      <w:pPr>
        <w:rPr>
          <w:lang w:val="sr-Cyrl-BA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1541BD" w:rsidRPr="00393D2C">
        <w:rPr>
          <w:rFonts w:asciiTheme="minorHAnsi" w:hAnsiTheme="minorHAnsi"/>
          <w:b/>
          <w:sz w:val="22"/>
          <w:szCs w:val="22"/>
          <w:lang w:val="ru-RU"/>
        </w:rPr>
        <w:t>6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давању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предходне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сагласности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на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Приједлог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уговора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концесији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 </w:t>
      </w:r>
      <w:r>
        <w:rPr>
          <w:rFonts w:asciiTheme="minorHAnsi" w:hAnsiTheme="minorHAnsi" w:cs="Calibri"/>
          <w:b/>
          <w:sz w:val="22"/>
          <w:szCs w:val="22"/>
          <w:lang w:val="sr-Cyrl-CS"/>
        </w:rPr>
        <w:t>изградње</w:t>
      </w:r>
      <w:r w:rsidR="00D87094" w:rsidRPr="00393D2C">
        <w:rPr>
          <w:rFonts w:asciiTheme="minorHAnsi" w:hAnsiTheme="minorHAnsi" w:cs="Calibr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sr-Cyrl-CS"/>
        </w:rPr>
        <w:t>и</w:t>
      </w:r>
      <w:r w:rsidR="00D87094" w:rsidRPr="00393D2C">
        <w:rPr>
          <w:rFonts w:asciiTheme="minorHAnsi" w:hAnsiTheme="minorHAnsi" w:cs="Calibr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sr-Cyrl-CS"/>
        </w:rPr>
        <w:t>коришћења</w:t>
      </w:r>
      <w:r w:rsidR="00D87094" w:rsidRPr="00393D2C">
        <w:rPr>
          <w:rFonts w:asciiTheme="minorHAnsi" w:hAnsiTheme="minorHAnsi" w:cs="Calibr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sr-Cyrl-CS"/>
        </w:rPr>
        <w:t>енергетских</w:t>
      </w:r>
      <w:r w:rsidR="00D87094" w:rsidRPr="00393D2C">
        <w:rPr>
          <w:rFonts w:asciiTheme="minorHAnsi" w:hAnsiTheme="minorHAnsi" w:cs="Calibr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sr-Cyrl-CS"/>
        </w:rPr>
        <w:t>објеката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520"/>
        <w:gridCol w:w="2732"/>
        <w:gridCol w:w="2188"/>
        <w:gridCol w:w="1861"/>
      </w:tblGrid>
      <w:tr w:rsidR="00D87094" w:rsidRPr="00393D2C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Концесионар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D87094" w:rsidRPr="00393D2C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</w:rPr>
              <w:t>МИНЕЦО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 </w:t>
            </w:r>
            <w:r w:rsidR="00DD65E6">
              <w:rPr>
                <w:rFonts w:asciiTheme="minorHAnsi" w:hAnsiTheme="minorHAnsi"/>
                <w:sz w:val="22"/>
                <w:szCs w:val="22"/>
              </w:rPr>
              <w:t>Лтд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Лондон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,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Велика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Британија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коришћење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МХЕ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Медош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снаге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3,975 </w:t>
            </w:r>
            <w:r>
              <w:rPr>
                <w:rFonts w:asciiTheme="minorHAnsi" w:hAnsiTheme="minorHAnsi"/>
                <w:sz w:val="22"/>
                <w:szCs w:val="22"/>
              </w:rPr>
              <w:t>М</w:t>
            </w:r>
            <w:r w:rsidR="00D87094" w:rsidRPr="00393D2C">
              <w:rPr>
                <w:rFonts w:asciiTheme="minorHAnsi" w:hAnsiTheme="minorHAnsi"/>
                <w:sz w:val="22"/>
                <w:szCs w:val="22"/>
              </w:rPr>
              <w:t>W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Дрињачи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Зворник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</w:rPr>
              <w:t>05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.0</w:t>
            </w:r>
            <w:r w:rsidRPr="00393D2C">
              <w:rPr>
                <w:rFonts w:asciiTheme="minorHAnsi" w:hAnsiTheme="minorHAnsi"/>
                <w:sz w:val="22"/>
                <w:szCs w:val="22"/>
              </w:rPr>
              <w:t>3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.2015.</w:t>
            </w:r>
          </w:p>
        </w:tc>
      </w:tr>
      <w:tr w:rsidR="00D87094" w:rsidRPr="00393D2C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МХ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ЕЛЕКТРОПРИВРЕДА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РС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Матично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предузеће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Требиње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коришћење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вјетроелектране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Хргуд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Берковићи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21.08.2015.</w:t>
            </w:r>
          </w:p>
        </w:tc>
      </w:tr>
      <w:tr w:rsidR="00D87094" w:rsidRPr="00393D2C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ХИДРО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ПО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W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ЕР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ГРОУП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Бања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Лука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Изградња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коришћење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хидроенергетског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система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Језерница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сливу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ријеке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Језернице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општина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Калиновик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23.11.2015.</w:t>
            </w:r>
          </w:p>
        </w:tc>
      </w:tr>
    </w:tbl>
    <w:p w:rsidR="00D87094" w:rsidRPr="00393D2C" w:rsidRDefault="00DD65E6" w:rsidP="00D87094">
      <w:p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Укупно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су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дата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3 (</w:t>
      </w:r>
      <w:r>
        <w:rPr>
          <w:rFonts w:asciiTheme="minorHAnsi" w:hAnsiTheme="minorHAnsi" w:cs="Calibri"/>
          <w:sz w:val="22"/>
          <w:szCs w:val="22"/>
          <w:lang w:val="sr-Cyrl-CS"/>
        </w:rPr>
        <w:t>три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) </w:t>
      </w:r>
      <w:r>
        <w:rPr>
          <w:rFonts w:asciiTheme="minorHAnsi" w:hAnsiTheme="minorHAnsi" w:cs="Calibri"/>
          <w:sz w:val="22"/>
          <w:szCs w:val="22"/>
          <w:lang w:val="sr-Cyrl-CS"/>
        </w:rPr>
        <w:t>Рјешења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давању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претходне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сагласности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Приједлог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концесији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из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области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 xml:space="preserve">  </w:t>
      </w:r>
      <w:r>
        <w:rPr>
          <w:rFonts w:asciiTheme="minorHAnsi" w:hAnsiTheme="minorHAnsi" w:cs="Calibri"/>
          <w:sz w:val="22"/>
          <w:szCs w:val="22"/>
          <w:lang w:val="sr-Cyrl-CS"/>
        </w:rPr>
        <w:t>изградње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коришћења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енергетских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објеката</w:t>
      </w:r>
      <w:r w:rsidR="00D87094" w:rsidRPr="00393D2C">
        <w:rPr>
          <w:rFonts w:asciiTheme="minorHAnsi" w:hAnsiTheme="minorHAnsi"/>
          <w:sz w:val="22"/>
          <w:szCs w:val="22"/>
          <w:lang w:val="ru-RU"/>
        </w:rPr>
        <w:t>.</w:t>
      </w:r>
    </w:p>
    <w:p w:rsidR="00D87094" w:rsidRPr="00393D2C" w:rsidRDefault="00D87094" w:rsidP="00D87094">
      <w:pPr>
        <w:jc w:val="both"/>
        <w:rPr>
          <w:rFonts w:asciiTheme="minorHAnsi" w:hAnsiTheme="minorHAnsi" w:cs="Calibri"/>
          <w:sz w:val="22"/>
          <w:szCs w:val="22"/>
        </w:rPr>
      </w:pPr>
    </w:p>
    <w:p w:rsidR="00D87094" w:rsidRPr="00393D2C" w:rsidRDefault="00DD65E6" w:rsidP="00D8709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1541BD" w:rsidRPr="00393D2C">
        <w:rPr>
          <w:rFonts w:asciiTheme="minorHAnsi" w:hAnsiTheme="minorHAnsi"/>
          <w:b/>
          <w:sz w:val="22"/>
          <w:szCs w:val="22"/>
          <w:lang w:val="ru-RU"/>
        </w:rPr>
        <w:t>7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концесије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давању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сагласности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на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уступање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уговора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концесији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промјени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власничке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структуре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изградње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коришћења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енергетских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објеката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25"/>
        <w:gridCol w:w="2597"/>
        <w:gridCol w:w="1935"/>
        <w:gridCol w:w="1758"/>
      </w:tblGrid>
      <w:tr w:rsidR="00D87094" w:rsidRPr="00393D2C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Концесионар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D87094" w:rsidRPr="00393D2C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1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ЕЛЕКТРО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ЈОВАНА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Милићи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A402FE" w:rsidRDefault="00DD65E6" w:rsidP="00A402FE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Промјена</w:t>
            </w:r>
            <w:r w:rsidR="00A402F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власништва</w:t>
            </w:r>
            <w:r w:rsidR="00A402F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у</w:t>
            </w:r>
            <w:r w:rsidR="00A402F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привредном</w:t>
            </w:r>
            <w:r w:rsidR="00A402F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друштву</w:t>
            </w:r>
            <w:r w:rsidR="00A402F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Електро</w:t>
            </w:r>
            <w:r w:rsidR="00A402FE">
              <w:rPr>
                <w:rFonts w:asciiTheme="minorHAnsi" w:hAnsiTheme="minorHAnsi"/>
                <w:sz w:val="20"/>
                <w:szCs w:val="20"/>
                <w:lang w:val="sr-Cyrl-CS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Јована</w:t>
            </w:r>
            <w:r w:rsidR="00A402FE">
              <w:rPr>
                <w:rFonts w:asciiTheme="minorHAnsi" w:hAnsiTheme="minorHAnsi"/>
                <w:sz w:val="20"/>
                <w:szCs w:val="20"/>
                <w:lang w:val="sr-Cyrl-CS"/>
              </w:rPr>
              <w:t>“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д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CS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о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CS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о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Милићи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са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садашњег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100%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власника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САВО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Latn-BA"/>
              </w:rPr>
              <w:t>X“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д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о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о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Милићи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на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нове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Стицаоце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Жељка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Дебелногића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са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50%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вл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права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и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Радосава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Живковића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са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50%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вл</w:t>
            </w:r>
            <w:r w:rsidR="00D87094" w:rsidRPr="00A402FE">
              <w:rPr>
                <w:rFonts w:asciiTheme="minorHAnsi" w:hAnsiTheme="minorHAnsi"/>
                <w:sz w:val="20"/>
                <w:szCs w:val="20"/>
                <w:lang w:val="sr-Cyrl-BA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права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промјену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власништва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18.08.2015.</w:t>
            </w:r>
          </w:p>
        </w:tc>
      </w:tr>
      <w:tr w:rsidR="00D87094" w:rsidRPr="00393D2C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ТАУБИНГЕР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ЕЛЕКТРИК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Фоча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Промјена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вл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структуре</w:t>
            </w:r>
            <w:r w:rsidR="001E4CA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</w:t>
            </w:r>
            <w:r w:rsidR="001E4CA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</w:t>
            </w:r>
            <w:r w:rsidR="001E4CA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привредном</w:t>
            </w:r>
            <w:r w:rsidR="001E4CA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друштву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пренос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50%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вл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права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Бобар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Тање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привредно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друштво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„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Антон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Киттел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Мухле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Гмбх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Плаика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6, 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Аустрија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који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постаје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100%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власник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концесионог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предузећа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промјену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вл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структуре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21.08.2015.</w:t>
            </w:r>
          </w:p>
        </w:tc>
      </w:tr>
      <w:tr w:rsidR="00D87094" w:rsidRPr="00393D2C" w:rsidTr="00E37BA8">
        <w:trPr>
          <w:trHeight w:val="1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ЕЛИНГ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МАЛЕ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ХИДРОЕЛЕКТРАНЕ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“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Теслић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Уступање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Уговора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концесији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концесионара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Елинг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Мале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Хидроелектране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Теслић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привредном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друштву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Петрол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Хидроенергија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Теслић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уступање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концесији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02.12.2015.</w:t>
            </w:r>
          </w:p>
        </w:tc>
      </w:tr>
    </w:tbl>
    <w:p w:rsidR="00D87094" w:rsidRPr="00393D2C" w:rsidRDefault="00DD65E6" w:rsidP="00D87094">
      <w:r>
        <w:rPr>
          <w:rFonts w:asciiTheme="minorHAnsi" w:hAnsiTheme="minorHAnsi" w:cs="Calibri"/>
          <w:sz w:val="22"/>
          <w:szCs w:val="22"/>
          <w:lang w:val="sr-Cyrl-CS"/>
        </w:rPr>
        <w:t>Укупно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су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 </w:t>
      </w:r>
      <w:r>
        <w:rPr>
          <w:rFonts w:asciiTheme="minorHAnsi" w:hAnsiTheme="minorHAnsi" w:cs="Calibri"/>
          <w:sz w:val="22"/>
          <w:szCs w:val="22"/>
          <w:lang w:val="sr-Cyrl-CS"/>
        </w:rPr>
        <w:t>дата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3 (</w:t>
      </w:r>
      <w:r>
        <w:rPr>
          <w:rFonts w:asciiTheme="minorHAnsi" w:hAnsiTheme="minorHAnsi" w:cs="Calibri"/>
          <w:sz w:val="22"/>
          <w:szCs w:val="22"/>
          <w:lang w:val="sr-Cyrl-CS"/>
        </w:rPr>
        <w:t>три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) </w:t>
      </w:r>
      <w:r>
        <w:rPr>
          <w:rFonts w:asciiTheme="minorHAnsi" w:hAnsiTheme="minorHAnsi" w:cs="Calibri"/>
          <w:sz w:val="22"/>
          <w:szCs w:val="22"/>
          <w:lang w:val="sr-Cyrl-CS"/>
        </w:rPr>
        <w:t>Рјешења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давању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сагласности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уступање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уговора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концесији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промјени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власничке</w:t>
      </w:r>
      <w:r w:rsidR="00D87094" w:rsidRPr="00393D2C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структуре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изградње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енергетских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објеката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>.</w:t>
      </w:r>
    </w:p>
    <w:p w:rsidR="00086585" w:rsidRPr="00393D2C" w:rsidRDefault="00086585" w:rsidP="00D87094">
      <w:pPr>
        <w:ind w:left="1276" w:hanging="1276"/>
        <w:jc w:val="both"/>
        <w:rPr>
          <w:rFonts w:asciiTheme="minorHAnsi" w:hAnsiTheme="minorHAnsi"/>
          <w:b/>
          <w:sz w:val="22"/>
          <w:szCs w:val="22"/>
          <w:lang w:val="sr-Cyrl-BA"/>
        </w:rPr>
      </w:pPr>
    </w:p>
    <w:p w:rsidR="00D87094" w:rsidRPr="00393D2C" w:rsidRDefault="00DD65E6" w:rsidP="00D8709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086585" w:rsidRPr="00393D2C">
        <w:rPr>
          <w:rFonts w:asciiTheme="minorHAnsi" w:hAnsiTheme="minorHAnsi"/>
          <w:b/>
          <w:sz w:val="22"/>
          <w:szCs w:val="22"/>
          <w:lang w:val="ru-RU"/>
        </w:rPr>
        <w:t xml:space="preserve"> 8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концесије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давању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сагласности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закључење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анекса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уговора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концесији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изградње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коришћења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енергетских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објеката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D87094" w:rsidRPr="00393D2C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25"/>
        <w:gridCol w:w="2597"/>
        <w:gridCol w:w="1935"/>
        <w:gridCol w:w="1758"/>
      </w:tblGrid>
      <w:tr w:rsidR="00D87094" w:rsidRPr="00393D2C" w:rsidTr="00E37BA8">
        <w:tc>
          <w:tcPr>
            <w:tcW w:w="546" w:type="dxa"/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125" w:type="dxa"/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Концесионар</w:t>
            </w:r>
          </w:p>
        </w:tc>
        <w:tc>
          <w:tcPr>
            <w:tcW w:w="2597" w:type="dxa"/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1935" w:type="dxa"/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758" w:type="dxa"/>
            <w:shd w:val="clear" w:color="auto" w:fill="BFBFB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D87094" w:rsidRPr="00393D2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D87094" w:rsidRPr="00393D2C" w:rsidTr="00E37BA8">
        <w:tc>
          <w:tcPr>
            <w:tcW w:w="546" w:type="dxa"/>
            <w:shd w:val="clear" w:color="auto" w:fill="FFFFFF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ЕФТ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РУДНИК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ТЕРМОЕЛЕКТРАНА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СТАНАРИ</w:t>
            </w:r>
            <w:r w:rsidRPr="00393D2C">
              <w:rPr>
                <w:rFonts w:asciiTheme="minorHAnsi" w:hAnsiTheme="minorHAnsi"/>
                <w:sz w:val="22"/>
                <w:szCs w:val="22"/>
                <w:lang w:val="sr-Latn-CS"/>
              </w:rPr>
              <w:t>“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Станари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Истраж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питке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индустријске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воде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лежишту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Драгаловци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Станари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некса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ИИ</w:t>
            </w:r>
            <w:r>
              <w:rPr>
                <w:rFonts w:asciiTheme="minorHAnsi" w:hAnsiTheme="minorHAnsi"/>
                <w:sz w:val="22"/>
                <w:szCs w:val="22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27.01.2015.</w:t>
            </w:r>
          </w:p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D87094" w:rsidRPr="00393D2C" w:rsidTr="00E37BA8">
        <w:trPr>
          <w:trHeight w:val="982"/>
        </w:trPr>
        <w:tc>
          <w:tcPr>
            <w:tcW w:w="546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25" w:type="dxa"/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СТРАЈКО</w:t>
            </w:r>
            <w:r w:rsidRPr="00393D2C">
              <w:rPr>
                <w:rFonts w:asciiTheme="minorHAnsi" w:hAnsiTheme="minorHAnsi"/>
                <w:sz w:val="22"/>
                <w:szCs w:val="22"/>
                <w:lang w:val="sr-Latn-CS"/>
              </w:rPr>
              <w:t>“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Требиње</w:t>
            </w:r>
          </w:p>
        </w:tc>
        <w:tc>
          <w:tcPr>
            <w:tcW w:w="2597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коришћење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МХЕ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Брегава</w:t>
            </w:r>
          </w:p>
        </w:tc>
        <w:tc>
          <w:tcPr>
            <w:tcW w:w="1935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ИИ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8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05</w:t>
            </w:r>
            <w:r w:rsidRPr="00393D2C">
              <w:rPr>
                <w:rFonts w:asciiTheme="minorHAnsi" w:hAnsiTheme="minorHAnsi"/>
                <w:sz w:val="22"/>
                <w:szCs w:val="22"/>
              </w:rPr>
              <w:t>.0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3</w:t>
            </w:r>
            <w:r w:rsidRPr="00393D2C">
              <w:rPr>
                <w:rFonts w:asciiTheme="minorHAnsi" w:hAnsiTheme="minorHAnsi"/>
                <w:sz w:val="22"/>
                <w:szCs w:val="22"/>
              </w:rPr>
              <w:t>.201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5</w:t>
            </w:r>
            <w:r w:rsidRPr="00393D2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87094" w:rsidRPr="00393D2C" w:rsidTr="00E37BA8">
        <w:tc>
          <w:tcPr>
            <w:tcW w:w="546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25" w:type="dxa"/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ЈАДРАН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НАФТАГАС</w:t>
            </w:r>
            <w:r w:rsidRPr="00393D2C">
              <w:rPr>
                <w:rFonts w:asciiTheme="minorHAnsi" w:hAnsiTheme="minorHAnsi"/>
                <w:sz w:val="22"/>
                <w:szCs w:val="22"/>
                <w:lang w:val="sr-Latn-CS"/>
              </w:rPr>
              <w:t>“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Бања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Лука</w:t>
            </w:r>
          </w:p>
        </w:tc>
        <w:tc>
          <w:tcPr>
            <w:tcW w:w="2597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Истраж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коришћење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угљоводоника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сирове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нафте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гаса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цијелој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територији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Републике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Српске</w:t>
            </w:r>
          </w:p>
        </w:tc>
        <w:tc>
          <w:tcPr>
            <w:tcW w:w="1935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8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05.03.2015.</w:t>
            </w:r>
          </w:p>
        </w:tc>
      </w:tr>
      <w:tr w:rsidR="00D87094" w:rsidRPr="00393D2C" w:rsidTr="00E37BA8">
        <w:tc>
          <w:tcPr>
            <w:tcW w:w="546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125" w:type="dxa"/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ХИДРОВАТ</w:t>
            </w:r>
            <w:r w:rsidRPr="00393D2C">
              <w:rPr>
                <w:rFonts w:asciiTheme="minorHAnsi" w:hAnsiTheme="minorHAnsi"/>
                <w:sz w:val="22"/>
                <w:szCs w:val="22"/>
                <w:lang w:val="sr-Latn-CS"/>
              </w:rPr>
              <w:t>“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Бјелајце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-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Мркоњић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Град</w:t>
            </w:r>
          </w:p>
        </w:tc>
        <w:tc>
          <w:tcPr>
            <w:tcW w:w="2597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коришћење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МХЕ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Шипово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Јањ</w:t>
            </w:r>
          </w:p>
        </w:tc>
        <w:tc>
          <w:tcPr>
            <w:tcW w:w="1935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8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02</w:t>
            </w:r>
            <w:r w:rsidRPr="00393D2C">
              <w:rPr>
                <w:rFonts w:asciiTheme="minorHAnsi" w:hAnsiTheme="minorHAnsi"/>
                <w:sz w:val="22"/>
                <w:szCs w:val="22"/>
                <w:lang w:val="sr-Latn-CS"/>
              </w:rPr>
              <w:t>.0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4</w:t>
            </w:r>
            <w:r w:rsidRPr="00393D2C">
              <w:rPr>
                <w:rFonts w:asciiTheme="minorHAnsi" w:hAnsiTheme="minorHAnsi"/>
                <w:sz w:val="22"/>
                <w:szCs w:val="22"/>
                <w:lang w:val="sr-Latn-CS"/>
              </w:rPr>
              <w:t>.201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5</w:t>
            </w:r>
            <w:r w:rsidRPr="00393D2C">
              <w:rPr>
                <w:rFonts w:asciiTheme="minorHAnsi" w:hAnsiTheme="minorHAnsi"/>
                <w:sz w:val="22"/>
                <w:szCs w:val="22"/>
                <w:lang w:val="sr-Latn-CS"/>
              </w:rPr>
              <w:t>.</w:t>
            </w:r>
          </w:p>
        </w:tc>
      </w:tr>
      <w:tr w:rsidR="00D87094" w:rsidRPr="00393D2C" w:rsidTr="00E37BA8">
        <w:tc>
          <w:tcPr>
            <w:tcW w:w="546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125" w:type="dxa"/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ЗЕМ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X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Сребреница</w:t>
            </w:r>
          </w:p>
        </w:tc>
        <w:tc>
          <w:tcPr>
            <w:tcW w:w="2597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коришћење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МХЕ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Штедрић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Штедрић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Милићи</w:t>
            </w:r>
          </w:p>
        </w:tc>
        <w:tc>
          <w:tcPr>
            <w:tcW w:w="1935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ИИ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уговора</w:t>
            </w:r>
          </w:p>
        </w:tc>
        <w:tc>
          <w:tcPr>
            <w:tcW w:w="1758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02.04.2015.</w:t>
            </w:r>
          </w:p>
        </w:tc>
      </w:tr>
      <w:tr w:rsidR="00D87094" w:rsidRPr="00393D2C" w:rsidTr="00E37BA8">
        <w:tc>
          <w:tcPr>
            <w:tcW w:w="546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125" w:type="dxa"/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ЕЛЕКТРО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ЈОВАНА</w:t>
            </w:r>
            <w:r w:rsidRPr="00393D2C">
              <w:rPr>
                <w:rFonts w:asciiTheme="minorHAnsi" w:hAnsiTheme="minorHAnsi"/>
                <w:sz w:val="22"/>
                <w:szCs w:val="22"/>
                <w:lang w:val="sr-Latn-CS"/>
              </w:rPr>
              <w:t>“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Милићи</w:t>
            </w:r>
          </w:p>
        </w:tc>
        <w:tc>
          <w:tcPr>
            <w:tcW w:w="2597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МХЕ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Јована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Зелени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Јадар</w:t>
            </w:r>
          </w:p>
        </w:tc>
        <w:tc>
          <w:tcPr>
            <w:tcW w:w="1935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некса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ИИИ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8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</w:rPr>
            </w:pPr>
            <w:r w:rsidRPr="00393D2C">
              <w:rPr>
                <w:rFonts w:asciiTheme="minorHAnsi" w:hAnsiTheme="minorHAnsi"/>
                <w:sz w:val="22"/>
                <w:szCs w:val="22"/>
              </w:rPr>
              <w:t>18.0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8</w:t>
            </w:r>
            <w:r w:rsidRPr="00393D2C">
              <w:rPr>
                <w:rFonts w:asciiTheme="minorHAnsi" w:hAnsiTheme="minorHAnsi"/>
                <w:sz w:val="22"/>
                <w:szCs w:val="22"/>
              </w:rPr>
              <w:t>.201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5</w:t>
            </w:r>
            <w:r w:rsidRPr="00393D2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</w:p>
        </w:tc>
      </w:tr>
      <w:tr w:rsidR="00D87094" w:rsidRPr="00393D2C" w:rsidTr="00E37BA8">
        <w:trPr>
          <w:trHeight w:val="902"/>
        </w:trPr>
        <w:tc>
          <w:tcPr>
            <w:tcW w:w="546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7.</w:t>
            </w:r>
          </w:p>
        </w:tc>
        <w:tc>
          <w:tcPr>
            <w:tcW w:w="3125" w:type="dxa"/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Latn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МЕГА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ЕЛЕКТРИК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Теслић</w:t>
            </w:r>
          </w:p>
        </w:tc>
        <w:tc>
          <w:tcPr>
            <w:tcW w:w="2597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Пројектовање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коришћење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пренос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МХЕ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Жираја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2“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Жираји</w:t>
            </w:r>
          </w:p>
        </w:tc>
        <w:tc>
          <w:tcPr>
            <w:tcW w:w="1935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8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21.08.2015.</w:t>
            </w:r>
          </w:p>
        </w:tc>
      </w:tr>
      <w:tr w:rsidR="00D87094" w:rsidRPr="00393D2C" w:rsidTr="00E37BA8">
        <w:trPr>
          <w:trHeight w:val="810"/>
        </w:trPr>
        <w:tc>
          <w:tcPr>
            <w:tcW w:w="546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125" w:type="dxa"/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Latn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ГАЗСЕРВИС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РС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Бања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Лука</w:t>
            </w:r>
          </w:p>
        </w:tc>
        <w:tc>
          <w:tcPr>
            <w:tcW w:w="2597" w:type="dxa"/>
            <w:vAlign w:val="center"/>
          </w:tcPr>
          <w:p w:rsidR="00D87094" w:rsidRPr="00393D2C" w:rsidRDefault="00DD65E6" w:rsidP="001E4CA1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кориштење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одржавање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система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аутономно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снабдијевање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ТНГ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ом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територији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Града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Бање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Луке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Latn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И</w:t>
            </w:r>
            <w:r>
              <w:rPr>
                <w:rFonts w:asciiTheme="minorHAnsi" w:hAnsiTheme="minorHAnsi"/>
                <w:sz w:val="22"/>
                <w:szCs w:val="22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8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0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3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12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.201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</w:p>
        </w:tc>
      </w:tr>
      <w:tr w:rsidR="00D87094" w:rsidRPr="00393D2C" w:rsidTr="00E37BA8">
        <w:trPr>
          <w:trHeight w:val="813"/>
        </w:trPr>
        <w:tc>
          <w:tcPr>
            <w:tcW w:w="546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125" w:type="dxa"/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Latn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БИЈЕЉИНА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ГАС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Бијељина</w:t>
            </w:r>
          </w:p>
        </w:tc>
        <w:tc>
          <w:tcPr>
            <w:tcW w:w="2597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Пројектовање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кориштење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одржавање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дистрибутивног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гасног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система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прикључком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гасовод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код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Горњег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Шепка</w:t>
            </w:r>
          </w:p>
        </w:tc>
        <w:tc>
          <w:tcPr>
            <w:tcW w:w="1935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ИИ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8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03.12.2015.</w:t>
            </w:r>
          </w:p>
        </w:tc>
      </w:tr>
      <w:tr w:rsidR="00D87094" w:rsidRPr="00393D2C" w:rsidTr="00E37BA8">
        <w:trPr>
          <w:trHeight w:val="697"/>
        </w:trPr>
        <w:tc>
          <w:tcPr>
            <w:tcW w:w="546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125" w:type="dxa"/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ЦОМСАР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ЕНЕРГ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Y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РЕПУБЛИКА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СРПСКА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“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Бања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Лука</w:t>
            </w:r>
          </w:p>
        </w:tc>
        <w:tc>
          <w:tcPr>
            <w:tcW w:w="2597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коришћење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Термоелектране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Угљевик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3“,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Угљевик</w:t>
            </w:r>
          </w:p>
        </w:tc>
        <w:tc>
          <w:tcPr>
            <w:tcW w:w="1935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8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14.12.2015.</w:t>
            </w:r>
          </w:p>
        </w:tc>
      </w:tr>
      <w:tr w:rsidR="00D87094" w:rsidRPr="00393D2C" w:rsidTr="00E37BA8">
        <w:trPr>
          <w:trHeight w:val="754"/>
        </w:trPr>
        <w:tc>
          <w:tcPr>
            <w:tcW w:w="546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125" w:type="dxa"/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ЦОМСАР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ЕНЕРГ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Y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ХИДРО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Бања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Лука</w:t>
            </w:r>
          </w:p>
        </w:tc>
        <w:tc>
          <w:tcPr>
            <w:tcW w:w="2597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кориштење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ХЕ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Мрсово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“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Лим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Рудо</w:t>
            </w:r>
          </w:p>
        </w:tc>
        <w:tc>
          <w:tcPr>
            <w:tcW w:w="1935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8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14.12.2015.</w:t>
            </w:r>
          </w:p>
        </w:tc>
      </w:tr>
      <w:tr w:rsidR="00D87094" w:rsidRPr="00393D2C" w:rsidTr="00E37BA8">
        <w:trPr>
          <w:trHeight w:val="776"/>
        </w:trPr>
        <w:tc>
          <w:tcPr>
            <w:tcW w:w="546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12.</w:t>
            </w:r>
          </w:p>
        </w:tc>
        <w:tc>
          <w:tcPr>
            <w:tcW w:w="3125" w:type="dxa"/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ЕЛЕКТРОС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Бања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Лука</w:t>
            </w:r>
          </w:p>
        </w:tc>
        <w:tc>
          <w:tcPr>
            <w:tcW w:w="2597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Изградња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МХЕ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Говза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Б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-1-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Јелеч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Говзи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општина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Фоча</w:t>
            </w:r>
          </w:p>
        </w:tc>
        <w:tc>
          <w:tcPr>
            <w:tcW w:w="1935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8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14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12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.201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</w:p>
        </w:tc>
      </w:tr>
      <w:tr w:rsidR="00D87094" w:rsidRPr="00393D2C" w:rsidTr="00E37BA8">
        <w:trPr>
          <w:trHeight w:val="1065"/>
        </w:trPr>
        <w:tc>
          <w:tcPr>
            <w:tcW w:w="546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1</w:t>
            </w:r>
            <w:r w:rsidRPr="00393D2C">
              <w:rPr>
                <w:rFonts w:asciiTheme="minorHAnsi" w:hAnsiTheme="minorHAnsi"/>
                <w:sz w:val="22"/>
                <w:szCs w:val="22"/>
              </w:rPr>
              <w:t>3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125" w:type="dxa"/>
            <w:vAlign w:val="center"/>
          </w:tcPr>
          <w:p w:rsidR="00D87094" w:rsidRPr="00393D2C" w:rsidRDefault="00D87094" w:rsidP="00E37BA8">
            <w:pPr>
              <w:rPr>
                <w:rFonts w:asciiTheme="minorHAnsi" w:hAnsiTheme="minorHAnsi"/>
                <w:lang w:val="sr-Cyrl-BA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ЗЕМ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X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393D2C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Сребреница</w:t>
            </w:r>
          </w:p>
        </w:tc>
        <w:tc>
          <w:tcPr>
            <w:tcW w:w="2597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коришћење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МХЕ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Штедрић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Штедрић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Милићи</w:t>
            </w:r>
          </w:p>
        </w:tc>
        <w:tc>
          <w:tcPr>
            <w:tcW w:w="1935" w:type="dxa"/>
            <w:vAlign w:val="center"/>
          </w:tcPr>
          <w:p w:rsidR="00D87094" w:rsidRPr="00393D2C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ИИИ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  <w:r w:rsidR="00D87094"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8" w:type="dxa"/>
            <w:vAlign w:val="center"/>
          </w:tcPr>
          <w:p w:rsidR="00D87094" w:rsidRPr="00393D2C" w:rsidRDefault="00D87094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2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4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12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.201</w:t>
            </w:r>
            <w:r w:rsidRPr="00393D2C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  <w:r w:rsidRPr="00393D2C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</w:p>
        </w:tc>
      </w:tr>
    </w:tbl>
    <w:p w:rsidR="00D87094" w:rsidRPr="00393D2C" w:rsidRDefault="00DD65E6" w:rsidP="00D87094">
      <w:pPr>
        <w:jc w:val="both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Cyrl-CS"/>
        </w:rPr>
        <w:t>Укупно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дато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87094" w:rsidRPr="00393D2C">
        <w:rPr>
          <w:rFonts w:asciiTheme="minorHAnsi" w:hAnsiTheme="minorHAnsi"/>
          <w:sz w:val="22"/>
          <w:szCs w:val="22"/>
        </w:rPr>
        <w:t>13</w:t>
      </w:r>
      <w:r w:rsidR="00D87094" w:rsidRPr="00393D2C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>(</w:t>
      </w:r>
      <w:r>
        <w:rPr>
          <w:rFonts w:asciiTheme="minorHAnsi" w:hAnsiTheme="minorHAnsi"/>
          <w:sz w:val="22"/>
          <w:szCs w:val="22"/>
          <w:lang w:val="sr-Cyrl-BA"/>
        </w:rPr>
        <w:t>тринаест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) </w:t>
      </w:r>
      <w:r>
        <w:rPr>
          <w:rFonts w:asciiTheme="minorHAnsi" w:hAnsiTheme="minorHAnsi"/>
          <w:sz w:val="22"/>
          <w:szCs w:val="22"/>
          <w:lang w:val="sr-Cyrl-CS"/>
        </w:rPr>
        <w:t>сагласности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закључење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анекса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концесији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изградње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енергетских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објеката</w:t>
      </w:r>
      <w:r w:rsidR="00D87094" w:rsidRPr="00393D2C">
        <w:rPr>
          <w:rFonts w:asciiTheme="minorHAnsi" w:hAnsiTheme="minorHAnsi"/>
          <w:sz w:val="22"/>
          <w:szCs w:val="22"/>
          <w:lang w:val="sr-Cyrl-CS"/>
        </w:rPr>
        <w:t>.</w:t>
      </w:r>
    </w:p>
    <w:p w:rsidR="006B4867" w:rsidRPr="00393D2C" w:rsidRDefault="006B4867" w:rsidP="00922F2C">
      <w:pPr>
        <w:pStyle w:val="Heading3"/>
        <w:rPr>
          <w:lang w:val="sr-Latn-BA"/>
        </w:rPr>
      </w:pPr>
      <w:bookmarkStart w:id="21" w:name="_Toc418075612"/>
      <w:bookmarkStart w:id="22" w:name="_Toc449404315"/>
      <w:r w:rsidRPr="00393D2C">
        <w:t xml:space="preserve">3.2.2. </w:t>
      </w:r>
      <w:r w:rsidR="00DD65E6">
        <w:t>Провјера</w:t>
      </w:r>
      <w:r w:rsidRPr="00393D2C">
        <w:t xml:space="preserve"> </w:t>
      </w:r>
      <w:r w:rsidR="00DD65E6">
        <w:t>рада</w:t>
      </w:r>
      <w:r w:rsidRPr="00393D2C">
        <w:t xml:space="preserve"> </w:t>
      </w:r>
      <w:r w:rsidR="00DD65E6">
        <w:t>Концесионара</w:t>
      </w:r>
      <w:bookmarkEnd w:id="21"/>
      <w:bookmarkEnd w:id="22"/>
    </w:p>
    <w:p w:rsidR="006B4867" w:rsidRPr="00393D2C" w:rsidRDefault="00DD65E6" w:rsidP="006B4867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току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2015.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складу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законским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овлашћењима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вршила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провјеру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реализацији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концесионих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енергетике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15 </w:t>
      </w:r>
      <w:r>
        <w:rPr>
          <w:rFonts w:asciiTheme="minorHAnsi" w:hAnsiTheme="minorHAnsi"/>
          <w:sz w:val="22"/>
          <w:szCs w:val="22"/>
          <w:lang w:val="sr-Cyrl-BA"/>
        </w:rPr>
        <w:t>контрола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Чланови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извршили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провјеру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реализације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потписаних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основу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sz w:val="22"/>
          <w:szCs w:val="22"/>
          <w:lang w:val="sr-Cyrl-BA"/>
        </w:rPr>
        <w:t>чега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може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констатовати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даље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присутни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неки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проблема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који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били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уочени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претходним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извјештајним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периодима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највећој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мјери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: </w:t>
      </w:r>
    </w:p>
    <w:p w:rsidR="006B4867" w:rsidRPr="00393D2C" w:rsidRDefault="00DD65E6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Лоше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базе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података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везано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претходна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истраживања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мјерења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>.;</w:t>
      </w:r>
    </w:p>
    <w:p w:rsidR="006B4867" w:rsidRPr="002419AA" w:rsidRDefault="00DD65E6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Недостатак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одговарајућих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стручних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установа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пројектних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кућа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>;</w:t>
      </w:r>
    </w:p>
    <w:p w:rsidR="006B4867" w:rsidRPr="002419AA" w:rsidRDefault="00DD65E6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Спорост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администрације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око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издавања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дозвола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>;</w:t>
      </w:r>
    </w:p>
    <w:p w:rsidR="006B4867" w:rsidRPr="002419AA" w:rsidRDefault="00DD65E6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Недостатак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квалитетних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инвеститора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>;</w:t>
      </w:r>
    </w:p>
    <w:p w:rsidR="006B4867" w:rsidRDefault="00DD65E6" w:rsidP="00922F2C">
      <w:pPr>
        <w:numPr>
          <w:ilvl w:val="0"/>
          <w:numId w:val="2"/>
        </w:numPr>
        <w:spacing w:after="24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Плаћање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накнада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више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пута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истој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основи</w:t>
      </w:r>
      <w:r w:rsidR="006B4867" w:rsidRPr="002419AA">
        <w:rPr>
          <w:rFonts w:asciiTheme="minorHAnsi" w:hAnsiTheme="minorHAnsi"/>
          <w:sz w:val="22"/>
          <w:szCs w:val="22"/>
          <w:lang w:val="sr-Cyrl-BA"/>
        </w:rPr>
        <w:t>.</w:t>
      </w:r>
    </w:p>
    <w:p w:rsidR="006B4867" w:rsidRPr="00393D2C" w:rsidRDefault="00DD65E6" w:rsidP="006B4867">
      <w:p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Представници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извршили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провјеру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реализације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>,</w:t>
      </w:r>
      <w:r w:rsidR="006B4867" w:rsidRPr="00393D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Нови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Сазив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116F6A" w:rsidRPr="00393D2C">
        <w:rPr>
          <w:rFonts w:asciiTheme="minorHAnsi" w:hAnsiTheme="minorHAnsi"/>
          <w:sz w:val="22"/>
          <w:szCs w:val="22"/>
          <w:lang w:val="sr-Cyrl-BA"/>
        </w:rPr>
        <w:t>,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како</w:t>
      </w:r>
      <w:r w:rsidR="009C7D0F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9C7D0F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већ</w:t>
      </w:r>
      <w:r w:rsidR="009C7D0F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речено</w:t>
      </w:r>
      <w:r w:rsidR="009C7D0F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ступио</w:t>
      </w:r>
      <w:r w:rsidR="009C7D0F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9C7D0F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контакт</w:t>
      </w:r>
      <w:r w:rsidR="009C7D0F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преко</w:t>
      </w:r>
      <w:r w:rsidR="00116F6A" w:rsidRPr="00393D2C">
        <w:rPr>
          <w:rFonts w:asciiTheme="minorHAnsi" w:hAnsiTheme="minorHAnsi"/>
          <w:sz w:val="22"/>
          <w:szCs w:val="22"/>
          <w:lang w:val="sr-Cyrl-BA"/>
        </w:rPr>
        <w:t xml:space="preserve"> 200 (</w:t>
      </w:r>
      <w:r>
        <w:rPr>
          <w:rFonts w:asciiTheme="minorHAnsi" w:hAnsiTheme="minorHAnsi"/>
          <w:sz w:val="22"/>
          <w:szCs w:val="22"/>
          <w:lang w:val="sr-Cyrl-BA"/>
        </w:rPr>
        <w:t>двијестотине</w:t>
      </w:r>
      <w:r w:rsidR="00116F6A" w:rsidRPr="00393D2C">
        <w:rPr>
          <w:rFonts w:asciiTheme="minorHAnsi" w:hAnsiTheme="minorHAnsi"/>
          <w:sz w:val="22"/>
          <w:szCs w:val="22"/>
          <w:lang w:val="sr-Cyrl-BA"/>
        </w:rPr>
        <w:t xml:space="preserve">) </w:t>
      </w:r>
      <w:r>
        <w:rPr>
          <w:rFonts w:asciiTheme="minorHAnsi" w:hAnsiTheme="minorHAnsi"/>
          <w:sz w:val="22"/>
          <w:szCs w:val="22"/>
          <w:lang w:val="sr-Cyrl-BA"/>
        </w:rPr>
        <w:t>концесионара</w:t>
      </w:r>
      <w:r w:rsidR="00116F6A" w:rsidRPr="00393D2C">
        <w:rPr>
          <w:rFonts w:asciiTheme="minorHAnsi" w:hAnsiTheme="minorHAnsi"/>
          <w:sz w:val="22"/>
          <w:szCs w:val="22"/>
          <w:lang w:val="sr-Cyrl-BA"/>
        </w:rPr>
        <w:t>,</w:t>
      </w:r>
      <w:r w:rsid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међу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којима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концесионари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који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имају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додјели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изградњу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коришћење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МХЕ</w:t>
      </w:r>
      <w:r w:rsidR="002A0FBA" w:rsidRPr="00B5581C">
        <w:rPr>
          <w:rFonts w:asciiTheme="minorHAnsi" w:hAnsiTheme="minorHAnsi"/>
          <w:sz w:val="22"/>
          <w:szCs w:val="22"/>
          <w:lang w:val="sr-Cyrl-BA"/>
        </w:rPr>
        <w:t>,</w:t>
      </w:r>
      <w:r w:rsidR="00116F6A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116F6A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вези</w:t>
      </w:r>
      <w:r w:rsidR="00116F6A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>:</w:t>
      </w:r>
    </w:p>
    <w:p w:rsidR="00116F6A" w:rsidRPr="00393D2C" w:rsidRDefault="00DD65E6" w:rsidP="00B21446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lastRenderedPageBreak/>
        <w:t>Доставом</w:t>
      </w:r>
      <w:r w:rsidR="007C08F1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иновиране</w:t>
      </w:r>
      <w:r w:rsidR="007C08F1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документације</w:t>
      </w:r>
      <w:r w:rsidR="007C08F1">
        <w:rPr>
          <w:rFonts w:asciiTheme="minorHAnsi" w:hAnsiTheme="minorHAnsi"/>
          <w:sz w:val="22"/>
          <w:szCs w:val="22"/>
          <w:lang w:val="sr-Cyrl-BA"/>
        </w:rPr>
        <w:t>;</w:t>
      </w:r>
    </w:p>
    <w:p w:rsidR="006B4867" w:rsidRPr="00393D2C" w:rsidRDefault="00DD65E6" w:rsidP="00B21446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Нивоу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прикупљене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документације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>;</w:t>
      </w:r>
    </w:p>
    <w:p w:rsidR="00116F6A" w:rsidRPr="00393D2C" w:rsidRDefault="00DD65E6" w:rsidP="00B21446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Реализацији</w:t>
      </w:r>
      <w:r w:rsidR="00116F6A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уговорених</w:t>
      </w:r>
      <w:r w:rsidR="00116F6A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параметара</w:t>
      </w:r>
      <w:r w:rsidR="00116F6A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</w:t>
      </w:r>
      <w:r w:rsidR="00116F6A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краја</w:t>
      </w:r>
      <w:r w:rsidR="00116F6A" w:rsidRPr="00393D2C">
        <w:rPr>
          <w:rFonts w:asciiTheme="minorHAnsi" w:hAnsiTheme="minorHAnsi"/>
          <w:sz w:val="22"/>
          <w:szCs w:val="22"/>
          <w:lang w:val="sr-Cyrl-BA"/>
        </w:rPr>
        <w:t xml:space="preserve"> 2015.</w:t>
      </w:r>
      <w:r w:rsidR="00922F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116F6A" w:rsidRPr="00393D2C">
        <w:rPr>
          <w:rFonts w:asciiTheme="minorHAnsi" w:hAnsiTheme="minorHAnsi"/>
          <w:sz w:val="22"/>
          <w:szCs w:val="22"/>
          <w:lang w:val="sr-Cyrl-BA"/>
        </w:rPr>
        <w:t>;</w:t>
      </w:r>
    </w:p>
    <w:p w:rsidR="006B4867" w:rsidRPr="00393D2C" w:rsidRDefault="00DD65E6" w:rsidP="00B21446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Роковима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основног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анекса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>;</w:t>
      </w:r>
    </w:p>
    <w:p w:rsidR="006B4867" w:rsidRPr="00393D2C" w:rsidRDefault="00DD65E6" w:rsidP="00B21446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Проблемима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узроцима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тих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проблема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који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успоравају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реализацију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закључених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>;</w:t>
      </w:r>
    </w:p>
    <w:p w:rsidR="006B4867" w:rsidRPr="00393D2C" w:rsidRDefault="00DD65E6" w:rsidP="00B21446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Рјешавању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имовинско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>-</w:t>
      </w:r>
      <w:r>
        <w:rPr>
          <w:rFonts w:asciiTheme="minorHAnsi" w:hAnsiTheme="minorHAnsi"/>
          <w:sz w:val="22"/>
          <w:szCs w:val="22"/>
          <w:lang w:val="sr-Cyrl-BA"/>
        </w:rPr>
        <w:t>правних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парцелама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које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дефинисане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концесионим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уговором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>;</w:t>
      </w:r>
    </w:p>
    <w:p w:rsidR="006B4867" w:rsidRPr="00393D2C" w:rsidRDefault="00DD65E6" w:rsidP="00B21446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Прибављању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разних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дозвола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одобрења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банкарских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гаранција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све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складу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уговором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>;</w:t>
      </w:r>
    </w:p>
    <w:p w:rsidR="006B4867" w:rsidRPr="00393D2C" w:rsidRDefault="00DD65E6" w:rsidP="00B21446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Степену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реализације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укупног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пројекта</w:t>
      </w:r>
      <w:r w:rsidR="006B4867" w:rsidRPr="00393D2C">
        <w:rPr>
          <w:rFonts w:asciiTheme="minorHAnsi" w:hAnsiTheme="minorHAnsi"/>
          <w:sz w:val="22"/>
          <w:szCs w:val="22"/>
          <w:lang w:val="sr-Cyrl-BA"/>
        </w:rPr>
        <w:t>.</w:t>
      </w:r>
    </w:p>
    <w:p w:rsidR="006B4867" w:rsidRPr="002419AA" w:rsidRDefault="00DD65E6" w:rsidP="006B4867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Због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тренутно</w:t>
      </w:r>
      <w:r w:rsidR="006B486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повољног</w:t>
      </w:r>
      <w:r w:rsidR="006B486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тренда</w:t>
      </w:r>
      <w:r w:rsidR="006B486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реализацији</w:t>
      </w:r>
      <w:r w:rsidR="006B486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потребно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нагласити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проблем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плаћања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концесионе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накнаде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разлога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који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би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могао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резултирати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блокадом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читавог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процеса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Проблем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огледа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плаћању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концесионе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накнаде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односно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карактеру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концесионе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накнаде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начину</w:t>
      </w:r>
      <w:r w:rsidR="006B486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расподјеле</w:t>
      </w:r>
      <w:r w:rsidR="006B486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накнаде</w:t>
      </w:r>
      <w:r w:rsidR="006B486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између</w:t>
      </w:r>
      <w:r w:rsidR="006B486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буџета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Републике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локалних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заједница</w:t>
      </w:r>
      <w:r w:rsidR="006B4867" w:rsidRPr="002419AA">
        <w:rPr>
          <w:rFonts w:asciiTheme="minorHAnsi" w:hAnsiTheme="minorHAnsi"/>
          <w:sz w:val="22"/>
          <w:szCs w:val="22"/>
          <w:lang w:val="sr-Cyrl-CS"/>
        </w:rPr>
        <w:t xml:space="preserve">. </w:t>
      </w:r>
    </w:p>
    <w:p w:rsidR="006B4867" w:rsidRPr="002419AA" w:rsidRDefault="00DD65E6" w:rsidP="006B4867">
      <w:pPr>
        <w:shd w:val="clear" w:color="auto" w:fill="FFFFFF"/>
        <w:spacing w:after="120"/>
        <w:jc w:val="both"/>
        <w:rPr>
          <w:rFonts w:asciiTheme="minorHAns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Уколико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би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се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ажурирала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плаћања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према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локалним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заједницама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многоме</w:t>
      </w:r>
      <w:r w:rsidR="006B486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би</w:t>
      </w:r>
      <w:r w:rsidR="006B486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се</w:t>
      </w:r>
      <w:r w:rsidR="006B486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олакшала</w:t>
      </w:r>
      <w:r w:rsidR="006B486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имплементација</w:t>
      </w:r>
      <w:r w:rsidR="006B486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уговора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концесијама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порасло</w:t>
      </w:r>
      <w:r w:rsidR="006B486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би</w:t>
      </w:r>
      <w:r w:rsidR="006B486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повјерење</w:t>
      </w:r>
      <w:r w:rsidR="006B486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на</w:t>
      </w:r>
      <w:r w:rsidR="006B486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релацији</w:t>
      </w:r>
      <w:r w:rsidR="006B486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Република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 w:rsidR="006B4867">
        <w:rPr>
          <w:rFonts w:asciiTheme="minorHAnsi" w:hAnsiTheme="minorHAnsi" w:cs="Calibri"/>
          <w:sz w:val="22"/>
          <w:szCs w:val="22"/>
          <w:lang w:val="sr-Cyrl-BA"/>
        </w:rPr>
        <w:t>–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локалне</w:t>
      </w:r>
      <w:r w:rsidR="006B486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заједнице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а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сами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Концесионари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би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извукли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највећу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корист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јер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би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се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локалне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заједнице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значајније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укључиле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реализацију</w:t>
      </w:r>
      <w:r w:rsidR="006B486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потписаних</w:t>
      </w:r>
      <w:r w:rsidR="006B486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концесионих</w:t>
      </w:r>
      <w:r w:rsidR="006B486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уговора</w:t>
      </w:r>
      <w:r w:rsidR="006B4867" w:rsidRPr="002419AA">
        <w:rPr>
          <w:rFonts w:asciiTheme="minorHAnsi" w:hAnsiTheme="minorHAnsi" w:cs="Calibri"/>
          <w:sz w:val="22"/>
          <w:szCs w:val="22"/>
          <w:lang w:val="sr-Cyrl-BA"/>
        </w:rPr>
        <w:t xml:space="preserve">. </w:t>
      </w:r>
    </w:p>
    <w:p w:rsidR="006B4867" w:rsidRPr="00221C54" w:rsidRDefault="006B4867" w:rsidP="00221C54">
      <w:pPr>
        <w:pStyle w:val="Heading3"/>
      </w:pPr>
      <w:bookmarkStart w:id="23" w:name="_Toc418075613"/>
      <w:bookmarkStart w:id="24" w:name="_Toc449404316"/>
      <w:r w:rsidRPr="00221C54">
        <w:t xml:space="preserve">3.2.3. </w:t>
      </w:r>
      <w:r w:rsidR="00DD65E6">
        <w:rPr>
          <w:rStyle w:val="trecinivonaslovaChar"/>
          <w:rFonts w:cs="Times New Roman"/>
          <w:lang w:val="en-US"/>
        </w:rPr>
        <w:t>Рудник</w:t>
      </w:r>
      <w:r w:rsidR="00DC3C78" w:rsidRPr="00221C54">
        <w:rPr>
          <w:rStyle w:val="trecinivonaslovaChar"/>
          <w:rFonts w:cs="Times New Roman"/>
          <w:lang w:val="en-US"/>
        </w:rPr>
        <w:t xml:space="preserve"> </w:t>
      </w:r>
      <w:r w:rsidR="00DD65E6">
        <w:rPr>
          <w:rStyle w:val="trecinivonaslovaChar"/>
          <w:rFonts w:cs="Times New Roman"/>
          <w:lang w:val="en-US"/>
        </w:rPr>
        <w:t>и</w:t>
      </w:r>
      <w:r w:rsidR="00DC3C78" w:rsidRPr="00221C54">
        <w:rPr>
          <w:rStyle w:val="trecinivonaslovaChar"/>
          <w:rFonts w:cs="Times New Roman"/>
          <w:lang w:val="en-US"/>
        </w:rPr>
        <w:t xml:space="preserve"> </w:t>
      </w:r>
      <w:r w:rsidR="00DD65E6">
        <w:rPr>
          <w:rStyle w:val="trecinivonaslovaChar"/>
          <w:rFonts w:cs="Times New Roman"/>
          <w:lang w:val="en-US"/>
        </w:rPr>
        <w:t>Термоелектрана</w:t>
      </w:r>
      <w:r w:rsidRPr="00221C54">
        <w:rPr>
          <w:rStyle w:val="trecinivonaslovaChar"/>
          <w:rFonts w:cs="Times New Roman"/>
          <w:lang w:val="en-US"/>
        </w:rPr>
        <w:t xml:space="preserve"> </w:t>
      </w:r>
      <w:r w:rsidR="00DD65E6">
        <w:rPr>
          <w:rStyle w:val="trecinivonaslovaChar"/>
          <w:rFonts w:cs="Times New Roman"/>
          <w:lang w:val="en-US"/>
        </w:rPr>
        <w:t>Станари</w:t>
      </w:r>
      <w:bookmarkEnd w:id="23"/>
      <w:bookmarkEnd w:id="24"/>
      <w:r w:rsidRPr="00221C54">
        <w:rPr>
          <w:rStyle w:val="trecinivonaslovaChar"/>
          <w:rFonts w:cs="Times New Roman"/>
          <w:lang w:val="en-US"/>
        </w:rPr>
        <w:t xml:space="preserve"> </w:t>
      </w:r>
    </w:p>
    <w:p w:rsidR="006B4867" w:rsidRPr="002A0FBA" w:rsidRDefault="006B4867" w:rsidP="002A0FBA">
      <w:pPr>
        <w:jc w:val="both"/>
        <w:rPr>
          <w:rFonts w:asciiTheme="minorHAnsi" w:hAnsiTheme="minorHAnsi"/>
          <w:sz w:val="22"/>
          <w:szCs w:val="22"/>
          <w:lang w:val="sr-Cyrl-BA"/>
        </w:rPr>
      </w:pPr>
      <w:r w:rsidRPr="002A0FBA">
        <w:rPr>
          <w:rFonts w:asciiTheme="minorHAnsi" w:hAnsiTheme="minorHAnsi" w:cs="Calibri"/>
          <w:sz w:val="22"/>
          <w:szCs w:val="22"/>
          <w:lang w:val="sr-Cyrl-BA"/>
        </w:rPr>
        <w:t>„</w:t>
      </w:r>
      <w:r w:rsidR="00DD65E6">
        <w:rPr>
          <w:rFonts w:asciiTheme="minorHAnsi" w:hAnsiTheme="minorHAnsi"/>
          <w:sz w:val="22"/>
          <w:szCs w:val="22"/>
          <w:lang w:val="sr-Cyrl-BA"/>
        </w:rPr>
        <w:t>ЕФТ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– </w:t>
      </w:r>
      <w:r w:rsidR="00DD65E6">
        <w:rPr>
          <w:rFonts w:asciiTheme="minorHAnsi" w:hAnsiTheme="minorHAnsi"/>
          <w:sz w:val="22"/>
          <w:szCs w:val="22"/>
          <w:lang w:val="sr-Cyrl-BA"/>
        </w:rPr>
        <w:t>Рудник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Термоелектрана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Станари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BA"/>
        </w:rPr>
        <w:t>д</w:t>
      </w:r>
      <w:r w:rsidRPr="002A0FBA">
        <w:rPr>
          <w:rFonts w:asciiTheme="minorHAnsi" w:hAnsiTheme="minorHAnsi"/>
          <w:sz w:val="22"/>
          <w:szCs w:val="22"/>
          <w:lang w:val="sr-Cyrl-BA"/>
        </w:rPr>
        <w:t>.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2A0FBA">
        <w:rPr>
          <w:rFonts w:asciiTheme="minorHAnsi" w:hAnsiTheme="minorHAnsi"/>
          <w:sz w:val="22"/>
          <w:szCs w:val="22"/>
          <w:lang w:val="sr-Cyrl-BA"/>
        </w:rPr>
        <w:t>.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. </w:t>
      </w:r>
      <w:r w:rsidR="00DD65E6">
        <w:rPr>
          <w:rFonts w:asciiTheme="minorHAnsi" w:hAnsiTheme="minorHAnsi"/>
          <w:sz w:val="22"/>
          <w:szCs w:val="22"/>
          <w:lang w:val="sr-Cyrl-BA"/>
        </w:rPr>
        <w:t>започео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је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изградњу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Термоелектране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Станари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, </w:t>
      </w:r>
      <w:r w:rsidR="00DD65E6">
        <w:rPr>
          <w:rFonts w:asciiTheme="minorHAnsi" w:hAnsiTheme="minorHAnsi"/>
          <w:sz w:val="22"/>
          <w:szCs w:val="22"/>
          <w:lang w:val="sr-Cyrl-BA"/>
        </w:rPr>
        <w:t>са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котлом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за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сагорјевање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угља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у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циркулационом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флуидизованом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слоју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(</w:t>
      </w:r>
      <w:r w:rsidR="00DD65E6">
        <w:rPr>
          <w:rFonts w:asciiTheme="minorHAnsi" w:hAnsiTheme="minorHAnsi"/>
          <w:sz w:val="22"/>
          <w:szCs w:val="22"/>
          <w:lang w:val="sr-Latn-BA"/>
        </w:rPr>
        <w:t>ЦФС</w:t>
      </w:r>
      <w:r w:rsidRPr="002A0FBA">
        <w:rPr>
          <w:rFonts w:asciiTheme="minorHAnsi" w:hAnsiTheme="minorHAnsi"/>
          <w:sz w:val="22"/>
          <w:szCs w:val="22"/>
          <w:lang w:val="sr-Latn-BA"/>
        </w:rPr>
        <w:t>)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, </w:t>
      </w:r>
      <w:r w:rsidR="00DD65E6">
        <w:rPr>
          <w:rFonts w:asciiTheme="minorHAnsi" w:hAnsiTheme="minorHAnsi"/>
          <w:sz w:val="22"/>
          <w:szCs w:val="22"/>
          <w:lang w:val="sr-Cyrl-BA"/>
        </w:rPr>
        <w:t>номиналном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инсталисаном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снагом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турбогенератора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од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300 </w:t>
      </w:r>
      <w:r w:rsidR="00DD65E6">
        <w:rPr>
          <w:rFonts w:asciiTheme="minorHAnsi" w:hAnsiTheme="minorHAnsi"/>
          <w:sz w:val="22"/>
          <w:szCs w:val="22"/>
          <w:lang w:val="sr-Latn-BA"/>
        </w:rPr>
        <w:t>М</w:t>
      </w:r>
      <w:r w:rsidRPr="002A0FBA">
        <w:rPr>
          <w:rFonts w:asciiTheme="minorHAnsi" w:hAnsiTheme="minorHAnsi"/>
          <w:sz w:val="22"/>
          <w:szCs w:val="22"/>
          <w:lang w:val="sr-Latn-BA"/>
        </w:rPr>
        <w:t>W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директним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ваздушним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системом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за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хлађење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кондезатора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. </w:t>
      </w:r>
      <w:r w:rsidR="00DD65E6">
        <w:rPr>
          <w:rFonts w:asciiTheme="minorHAnsi" w:hAnsiTheme="minorHAnsi"/>
          <w:sz w:val="22"/>
          <w:szCs w:val="22"/>
          <w:lang w:val="sr-Cyrl-BA"/>
        </w:rPr>
        <w:t>Главни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извођач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радова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на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изградњи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Термоелектране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Станари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је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кинеска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компанија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Latn-BA"/>
        </w:rPr>
        <w:t>Донгфанг</w:t>
      </w:r>
      <w:r w:rsidRPr="002A0FBA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Latn-BA"/>
        </w:rPr>
        <w:t>Елецтриц</w:t>
      </w:r>
      <w:r w:rsidRPr="002A0FBA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Latn-BA"/>
        </w:rPr>
        <w:t>Цорпоратион</w:t>
      </w:r>
      <w:r w:rsidRPr="002A0FBA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Latn-BA"/>
        </w:rPr>
        <w:t>Лтд</w:t>
      </w:r>
      <w:r w:rsidRPr="002A0FBA">
        <w:rPr>
          <w:rFonts w:asciiTheme="minorHAnsi" w:hAnsiTheme="minorHAnsi"/>
          <w:sz w:val="22"/>
          <w:szCs w:val="22"/>
          <w:lang w:val="sr-Latn-BA"/>
        </w:rPr>
        <w:t xml:space="preserve"> (</w:t>
      </w:r>
      <w:r w:rsidR="00DD65E6">
        <w:rPr>
          <w:rFonts w:asciiTheme="minorHAnsi" w:hAnsiTheme="minorHAnsi"/>
          <w:sz w:val="22"/>
          <w:szCs w:val="22"/>
          <w:lang w:val="sr-Latn-BA"/>
        </w:rPr>
        <w:t>ДЕЦ</w:t>
      </w:r>
      <w:r w:rsidRPr="002A0FBA">
        <w:rPr>
          <w:rFonts w:asciiTheme="minorHAnsi" w:hAnsiTheme="minorHAnsi"/>
          <w:sz w:val="22"/>
          <w:szCs w:val="22"/>
          <w:lang w:val="sr-Latn-BA"/>
        </w:rPr>
        <w:t xml:space="preserve">). </w:t>
      </w:r>
      <w:r w:rsidR="00DD65E6">
        <w:rPr>
          <w:rFonts w:asciiTheme="minorHAnsi" w:hAnsiTheme="minorHAnsi"/>
          <w:sz w:val="22"/>
          <w:szCs w:val="22"/>
          <w:lang w:val="sr-Cyrl-BA"/>
        </w:rPr>
        <w:t>Уговор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пројектовању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, </w:t>
      </w:r>
      <w:r w:rsidR="00DD65E6">
        <w:rPr>
          <w:rFonts w:asciiTheme="minorHAnsi" w:hAnsiTheme="minorHAnsi"/>
          <w:sz w:val="22"/>
          <w:szCs w:val="22"/>
          <w:lang w:val="sr-Cyrl-BA"/>
        </w:rPr>
        <w:t>набавци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изградњи</w:t>
      </w:r>
      <w:r w:rsidR="00221C54"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Термоелектране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Станари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2A0FBA">
        <w:rPr>
          <w:rFonts w:asciiTheme="minorHAnsi" w:hAnsiTheme="minorHAnsi"/>
          <w:sz w:val="22"/>
          <w:szCs w:val="22"/>
          <w:lang w:val="sr-Latn-BA"/>
        </w:rPr>
        <w:t>(</w:t>
      </w:r>
      <w:r w:rsidR="00DD65E6">
        <w:rPr>
          <w:rFonts w:asciiTheme="minorHAnsi" w:hAnsiTheme="minorHAnsi"/>
          <w:sz w:val="22"/>
          <w:szCs w:val="22"/>
          <w:lang w:val="sr-Latn-BA"/>
        </w:rPr>
        <w:t>ЕПЦ</w:t>
      </w:r>
      <w:r w:rsidRPr="002A0FBA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Latn-BA"/>
        </w:rPr>
        <w:t>Уговор</w:t>
      </w:r>
      <w:r w:rsidRPr="002A0FBA">
        <w:rPr>
          <w:rFonts w:asciiTheme="minorHAnsi" w:hAnsiTheme="minorHAnsi"/>
          <w:sz w:val="22"/>
          <w:szCs w:val="22"/>
          <w:lang w:val="sr-Latn-BA"/>
        </w:rPr>
        <w:t xml:space="preserve">) </w:t>
      </w:r>
      <w:r w:rsidR="00DD65E6">
        <w:rPr>
          <w:rFonts w:asciiTheme="minorHAnsi" w:hAnsiTheme="minorHAnsi"/>
          <w:sz w:val="22"/>
          <w:szCs w:val="22"/>
          <w:lang w:val="sr-Cyrl-BA"/>
        </w:rPr>
        <w:t>ступио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је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на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снагу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21.12.2012. </w:t>
      </w:r>
      <w:r w:rsidR="00DD65E6">
        <w:rPr>
          <w:rFonts w:asciiTheme="minorHAnsi" w:hAnsiTheme="minorHAnsi"/>
          <w:sz w:val="22"/>
          <w:szCs w:val="22"/>
          <w:lang w:val="sr-Cyrl-BA"/>
        </w:rPr>
        <w:t>године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, </w:t>
      </w:r>
      <w:r w:rsidR="00DD65E6">
        <w:rPr>
          <w:rFonts w:asciiTheme="minorHAnsi" w:hAnsiTheme="minorHAnsi"/>
          <w:sz w:val="22"/>
          <w:szCs w:val="22"/>
          <w:lang w:val="sr-Cyrl-BA"/>
        </w:rPr>
        <w:t>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грађевински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радови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су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заванично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почели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16.04.2013. </w:t>
      </w:r>
      <w:r w:rsidR="00DD65E6">
        <w:rPr>
          <w:rFonts w:asciiTheme="minorHAnsi" w:hAnsiTheme="minorHAnsi"/>
          <w:sz w:val="22"/>
          <w:szCs w:val="22"/>
          <w:lang w:val="sr-Cyrl-BA"/>
        </w:rPr>
        <w:t>године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. </w:t>
      </w:r>
      <w:r w:rsidR="00DD65E6">
        <w:rPr>
          <w:rFonts w:asciiTheme="minorHAnsi" w:hAnsiTheme="minorHAnsi"/>
          <w:sz w:val="22"/>
          <w:szCs w:val="22"/>
          <w:lang w:val="sr-Cyrl-BA"/>
        </w:rPr>
        <w:t>Рок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за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завршетак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радова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износи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45 </w:t>
      </w:r>
      <w:r w:rsidR="00DD65E6">
        <w:rPr>
          <w:rFonts w:asciiTheme="minorHAnsi" w:hAnsiTheme="minorHAnsi"/>
          <w:sz w:val="22"/>
          <w:szCs w:val="22"/>
          <w:lang w:val="sr-Cyrl-BA"/>
        </w:rPr>
        <w:t>мјесеци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од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дана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ступања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Уговора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на</w:t>
      </w:r>
      <w:r w:rsidRPr="002A0F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снагу</w:t>
      </w:r>
      <w:r w:rsidRPr="002A0FBA">
        <w:rPr>
          <w:rFonts w:asciiTheme="minorHAnsi" w:hAnsiTheme="minorHAnsi"/>
          <w:sz w:val="22"/>
          <w:szCs w:val="22"/>
          <w:lang w:val="sr-Cyrl-BA"/>
        </w:rPr>
        <w:t>.</w:t>
      </w:r>
    </w:p>
    <w:p w:rsidR="006B4867" w:rsidRPr="00221C54" w:rsidRDefault="006B4867" w:rsidP="00221C54">
      <w:pPr>
        <w:pStyle w:val="Heading3"/>
      </w:pPr>
      <w:bookmarkStart w:id="25" w:name="_Toc418075614"/>
      <w:bookmarkStart w:id="26" w:name="_Toc449404317"/>
      <w:r w:rsidRPr="009C5187">
        <w:t xml:space="preserve">3.2.3.1. </w:t>
      </w:r>
      <w:r w:rsidR="00DD65E6">
        <w:t>Преглед</w:t>
      </w:r>
      <w:r w:rsidRPr="009C5187">
        <w:t xml:space="preserve"> </w:t>
      </w:r>
      <w:r w:rsidR="00DD65E6">
        <w:t>изведених</w:t>
      </w:r>
      <w:r w:rsidRPr="009C5187">
        <w:t xml:space="preserve"> </w:t>
      </w:r>
      <w:r w:rsidR="00DD65E6">
        <w:t>радова</w:t>
      </w:r>
      <w:r w:rsidRPr="009C5187">
        <w:t xml:space="preserve"> </w:t>
      </w:r>
      <w:r w:rsidR="00DD65E6">
        <w:t>у</w:t>
      </w:r>
      <w:r w:rsidRPr="009C5187">
        <w:t xml:space="preserve"> 2015. </w:t>
      </w:r>
      <w:r w:rsidR="00DD65E6">
        <w:t>години</w:t>
      </w:r>
      <w:bookmarkEnd w:id="25"/>
      <w:bookmarkEnd w:id="26"/>
      <w:r w:rsidRPr="009C5187">
        <w:t xml:space="preserve"> </w:t>
      </w:r>
    </w:p>
    <w:p w:rsidR="006B4867" w:rsidRPr="009C5187" w:rsidRDefault="00DD65E6" w:rsidP="006B4867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Све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радове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2015.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години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монтажи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испитивању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опреме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система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,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завршне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грађевинске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,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занатске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инсталатерске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радове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објектима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углавном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су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изводиле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домаће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фирме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,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као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одобрени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подизвођачи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главног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кинеског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извођача</w:t>
      </w:r>
      <w:r w:rsidR="006B4867" w:rsidRPr="009C5187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BA"/>
        </w:rPr>
        <w:t>ДЕЦ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- </w:t>
      </w:r>
      <w:r>
        <w:rPr>
          <w:rFonts w:asciiTheme="minorHAnsi" w:hAnsiTheme="minorHAnsi" w:cstheme="minorHAnsi"/>
          <w:sz w:val="22"/>
          <w:szCs w:val="22"/>
          <w:lang w:val="sr-Cyrl-BA"/>
        </w:rPr>
        <w:t>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. 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Грађевински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радови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главној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погонској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линији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објекта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– </w:t>
      </w:r>
      <w:r>
        <w:rPr>
          <w:rFonts w:asciiTheme="minorHAnsi" w:hAnsiTheme="minorHAnsi" w:cstheme="minorHAnsi"/>
          <w:sz w:val="22"/>
          <w:szCs w:val="22"/>
          <w:lang w:val="sr-Cyrl-BA"/>
        </w:rPr>
        <w:t>главна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командна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зграда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ентеријерски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обрађена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BA"/>
        </w:rPr>
        <w:t>монтирани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лифтови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BA"/>
        </w:rPr>
        <w:t>комплетна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опрема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BA"/>
        </w:rPr>
        <w:t>тј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r-Cyrl-BA"/>
        </w:rPr>
        <w:t>објекат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финално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завршен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>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Турбогенераторска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сала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деаераторско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бункерски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тракт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>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Завршени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грађевински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радови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кондезаторском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постројењу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монтирана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челична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конструкција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лифта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>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котловници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завршени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занатски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грађевински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радови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фасада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комплетно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обложена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алуминијским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сендвич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панелом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; 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Завршена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монтажа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челичне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конструкције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филтерско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постројење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зграду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вентилатора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димних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гасова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>;</w:t>
      </w:r>
    </w:p>
    <w:p w:rsidR="006B4867" w:rsidRDefault="00DD65E6" w:rsidP="00B2144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Димњак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бетонске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љуске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висине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147 </w:t>
      </w:r>
      <w:r>
        <w:rPr>
          <w:rFonts w:asciiTheme="minorHAnsi" w:hAnsiTheme="minorHAnsi" w:cstheme="minorHAnsi"/>
          <w:sz w:val="22"/>
          <w:szCs w:val="22"/>
          <w:lang w:val="sr-Cyrl-BA"/>
        </w:rPr>
        <w:t>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изграђен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сигнално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расвјетљен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контролним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просторијама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системом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континуирано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праћење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гасова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>;</w:t>
      </w:r>
    </w:p>
    <w:p w:rsidR="001E69D8" w:rsidRDefault="001E69D8" w:rsidP="001E69D8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:rsidR="001E69D8" w:rsidRPr="001E69D8" w:rsidRDefault="001E69D8" w:rsidP="001E69D8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:rsidR="006B4867" w:rsidRPr="009C5187" w:rsidRDefault="00DD65E6" w:rsidP="00B2144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lastRenderedPageBreak/>
        <w:t>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помоћним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грађевинским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објектима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изведено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доста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радова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као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што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sr-Cyrl-BA"/>
        </w:rPr>
        <w:t>пресјечне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станице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мостови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BA"/>
        </w:rPr>
        <w:t>мостови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транспортера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угаљ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BA"/>
        </w:rPr>
        <w:t>постројење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дробљење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угља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BA"/>
        </w:rPr>
        <w:t>објекти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течно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гориво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BA"/>
        </w:rPr>
        <w:t>компресорска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станица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BA"/>
        </w:rPr>
        <w:t>објекти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хемијске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припреме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воде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BA"/>
        </w:rPr>
        <w:t>пумпна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станица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BA"/>
        </w:rPr>
        <w:t>базени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прикупљање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отпадних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вода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BA"/>
        </w:rPr>
        <w:t>расхладни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торањ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техничке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воде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>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Извршена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монтажа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силоса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пепела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>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Извршени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темељи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ход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комбиноване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машине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>.</w:t>
      </w:r>
    </w:p>
    <w:p w:rsidR="006B4867" w:rsidRDefault="006B4867" w:rsidP="006B4867">
      <w:pPr>
        <w:jc w:val="both"/>
        <w:rPr>
          <w:rFonts w:asciiTheme="minorHAnsi" w:hAnsiTheme="minorHAnsi" w:cstheme="minorHAnsi"/>
          <w:color w:val="0070C0"/>
          <w:sz w:val="22"/>
          <w:szCs w:val="22"/>
          <w:lang w:val="sr-Cyrl-BA"/>
        </w:rPr>
      </w:pPr>
    </w:p>
    <w:p w:rsidR="006B4867" w:rsidRPr="00CB7F83" w:rsidRDefault="001B4474" w:rsidP="006B4867">
      <w:pPr>
        <w:jc w:val="both"/>
        <w:rPr>
          <w:rFonts w:asciiTheme="minorHAnsi" w:hAnsiTheme="minorHAnsi" w:cstheme="minorHAnsi"/>
          <w:sz w:val="22"/>
          <w:szCs w:val="22"/>
          <w:u w:val="single"/>
          <w:lang w:val="sr-Cyrl-BA"/>
        </w:rPr>
      </w:pPr>
      <w:r>
        <w:rPr>
          <w:rFonts w:asciiTheme="minorHAnsi" w:hAnsiTheme="minorHAnsi" w:cstheme="minorHAnsi"/>
          <w:sz w:val="22"/>
          <w:szCs w:val="22"/>
          <w:u w:val="single"/>
          <w:lang w:val="sr-Cyrl-BA"/>
        </w:rPr>
        <w:t>*</w:t>
      </w:r>
      <w:r w:rsidR="00DD65E6">
        <w:rPr>
          <w:rFonts w:asciiTheme="minorHAnsi" w:hAnsiTheme="minorHAnsi" w:cstheme="minorHAnsi"/>
          <w:sz w:val="22"/>
          <w:szCs w:val="22"/>
          <w:u w:val="single"/>
          <w:lang w:val="sr-Cyrl-BA"/>
        </w:rPr>
        <w:t>ЕЛЕКТРО</w:t>
      </w:r>
      <w:r w:rsidR="006B4867" w:rsidRPr="00CB7F83">
        <w:rPr>
          <w:rFonts w:asciiTheme="minorHAnsi" w:hAnsiTheme="minorHAnsi" w:cstheme="minorHAnsi"/>
          <w:sz w:val="22"/>
          <w:szCs w:val="22"/>
          <w:u w:val="single"/>
          <w:lang w:val="sr-Cyrl-BA"/>
        </w:rPr>
        <w:t xml:space="preserve"> </w:t>
      </w:r>
      <w:r w:rsidR="00DD65E6">
        <w:rPr>
          <w:rFonts w:asciiTheme="minorHAnsi" w:hAnsiTheme="minorHAnsi" w:cstheme="minorHAnsi"/>
          <w:sz w:val="22"/>
          <w:szCs w:val="22"/>
          <w:u w:val="single"/>
          <w:lang w:val="sr-Cyrl-BA"/>
        </w:rPr>
        <w:t>РАДОВИ</w:t>
      </w:r>
    </w:p>
    <w:p w:rsidR="006B4867" w:rsidRPr="009C5187" w:rsidRDefault="00DD65E6" w:rsidP="006B4867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Трафостаница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Станари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завршена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пуштена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под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напон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од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400 </w:t>
      </w:r>
      <w:r>
        <w:rPr>
          <w:rFonts w:asciiTheme="minorHAnsi" w:hAnsiTheme="minorHAnsi" w:cstheme="minorHAnsi"/>
          <w:sz w:val="22"/>
          <w:szCs w:val="22"/>
          <w:lang w:val="sr-Latn-BA"/>
        </w:rPr>
        <w:t>КВ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110</w:t>
      </w:r>
      <w:r w:rsidR="006B4867" w:rsidRPr="009C5187">
        <w:rPr>
          <w:rFonts w:asciiTheme="minorHAnsi" w:hAnsiTheme="minorHAnsi" w:cs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BA"/>
        </w:rPr>
        <w:t>КВ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r-Cyrl-BA"/>
        </w:rPr>
        <w:t>Извршен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технички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преглед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прибављена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употребна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дозвола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r-Cyrl-BA"/>
        </w:rPr>
        <w:t>Главна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електро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опрема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евакуацију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електричне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енергије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преносну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мрежу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монтирана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дјелимично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испитана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r-Cyrl-BA"/>
        </w:rPr>
        <w:t>Извршено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полагање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система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заштитног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громобранског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уземљења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објекта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. </w:t>
      </w:r>
    </w:p>
    <w:p w:rsidR="006B4867" w:rsidRPr="009C5187" w:rsidRDefault="006B4867" w:rsidP="006B4867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:rsidR="006B4867" w:rsidRPr="00CB7F83" w:rsidRDefault="001B4474" w:rsidP="006B4867">
      <w:pPr>
        <w:jc w:val="both"/>
        <w:rPr>
          <w:rFonts w:asciiTheme="minorHAnsi" w:hAnsiTheme="minorHAnsi" w:cstheme="minorHAnsi"/>
          <w:sz w:val="22"/>
          <w:szCs w:val="22"/>
          <w:u w:val="single"/>
          <w:lang w:val="sr-Cyrl-BA"/>
        </w:rPr>
      </w:pPr>
      <w:r>
        <w:rPr>
          <w:rFonts w:asciiTheme="minorHAnsi" w:hAnsiTheme="minorHAnsi" w:cstheme="minorHAnsi"/>
          <w:sz w:val="22"/>
          <w:szCs w:val="22"/>
          <w:u w:val="single"/>
          <w:lang w:val="sr-Cyrl-BA"/>
        </w:rPr>
        <w:t>*</w:t>
      </w:r>
      <w:r w:rsidR="00DD65E6">
        <w:rPr>
          <w:rFonts w:asciiTheme="minorHAnsi" w:hAnsiTheme="minorHAnsi" w:cstheme="minorHAnsi"/>
          <w:sz w:val="22"/>
          <w:szCs w:val="22"/>
          <w:u w:val="single"/>
          <w:lang w:val="sr-Cyrl-BA"/>
        </w:rPr>
        <w:t>МАШИНСКИ</w:t>
      </w:r>
      <w:r w:rsidR="006B4867" w:rsidRPr="00CB7F83">
        <w:rPr>
          <w:rFonts w:asciiTheme="minorHAnsi" w:hAnsiTheme="minorHAnsi" w:cstheme="minorHAnsi"/>
          <w:sz w:val="22"/>
          <w:szCs w:val="22"/>
          <w:u w:val="single"/>
          <w:lang w:val="sr-Cyrl-BA"/>
        </w:rPr>
        <w:t xml:space="preserve"> </w:t>
      </w:r>
      <w:r w:rsidR="00DD65E6">
        <w:rPr>
          <w:rFonts w:asciiTheme="minorHAnsi" w:hAnsiTheme="minorHAnsi" w:cstheme="minorHAnsi"/>
          <w:sz w:val="22"/>
          <w:szCs w:val="22"/>
          <w:u w:val="single"/>
          <w:lang w:val="sr-Cyrl-BA"/>
        </w:rPr>
        <w:t>РАДОВИ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Монтирани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пуштени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погон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помоћни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системи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котла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r-Cyrl-BA"/>
        </w:rPr>
        <w:t>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октобру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завршено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хемијско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чишћење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котла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BA"/>
        </w:rPr>
        <w:t>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новембру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обављена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прва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потпала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котла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завршено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парно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продувавање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>.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Радови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току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управној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згради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sr-Cyrl-BA"/>
        </w:rPr>
        <w:t>ресторан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портирница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>);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Противпожарна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станица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; 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Унутрашње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саобраћајнице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>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Вањско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уређење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фина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нивелација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sr-Cyrl-BA"/>
        </w:rPr>
        <w:t>паркови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>).</w:t>
      </w:r>
    </w:p>
    <w:p w:rsidR="006B4867" w:rsidRPr="009C5187" w:rsidRDefault="006B4867" w:rsidP="006B4867">
      <w:pPr>
        <w:pStyle w:val="ListParagraph"/>
        <w:ind w:left="540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:rsidR="006B4867" w:rsidRPr="009C5187" w:rsidRDefault="00DD65E6" w:rsidP="006B4867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Након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завршених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функционалних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испитивања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главних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помоћних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система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Термоелектране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створени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услови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покретање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прву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синхронизацију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блока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електроенергетски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систем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БиХ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r-Cyrl-BA"/>
        </w:rPr>
        <w:t>Надзор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над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извођењем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радова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врши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конзорцијум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BA"/>
        </w:rPr>
        <w:t>АФ</w:t>
      </w:r>
      <w:r w:rsidR="006B4867" w:rsidRPr="009C5187">
        <w:rPr>
          <w:rFonts w:asciiTheme="minorHAnsi" w:hAnsiTheme="minorHAnsi" w:cstheme="minorHAnsi"/>
          <w:sz w:val="22"/>
          <w:szCs w:val="22"/>
          <w:lang w:val="sr-Latn-BA"/>
        </w:rPr>
        <w:t>-</w:t>
      </w:r>
      <w:r>
        <w:rPr>
          <w:rFonts w:asciiTheme="minorHAnsi" w:hAnsiTheme="minorHAnsi" w:cstheme="minorHAnsi"/>
          <w:sz w:val="22"/>
          <w:szCs w:val="22"/>
          <w:lang w:val="sr-Latn-BA"/>
        </w:rPr>
        <w:t>Цонсулт</w:t>
      </w:r>
      <w:r w:rsidR="006B4867" w:rsidRPr="009C5187">
        <w:rPr>
          <w:rFonts w:asciiTheme="minorHAnsi" w:hAnsiTheme="minorHAnsi" w:cs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BA"/>
        </w:rPr>
        <w:t>Енерг</w:t>
      </w:r>
      <w:r w:rsidR="006B4867" w:rsidRPr="009C5187">
        <w:rPr>
          <w:rFonts w:asciiTheme="minorHAnsi" w:hAnsiTheme="minorHAnsi" w:cstheme="minorHAnsi"/>
          <w:sz w:val="22"/>
          <w:szCs w:val="22"/>
          <w:lang w:val="sr-Latn-BA"/>
        </w:rPr>
        <w:t xml:space="preserve">y </w:t>
      </w:r>
      <w:r>
        <w:rPr>
          <w:rFonts w:asciiTheme="minorHAnsi" w:hAnsiTheme="minorHAnsi" w:cstheme="minorHAnsi"/>
          <w:sz w:val="22"/>
          <w:szCs w:val="22"/>
          <w:lang w:val="sr-Latn-BA"/>
        </w:rPr>
        <w:t>анд</w:t>
      </w:r>
      <w:r w:rsidR="006B4867" w:rsidRPr="009C5187">
        <w:rPr>
          <w:rFonts w:asciiTheme="minorHAnsi" w:hAnsiTheme="minorHAnsi" w:cs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BA"/>
        </w:rPr>
        <w:t>Стеинм</w:t>
      </w:r>
      <w:r w:rsidR="006B4867" w:rsidRPr="009C5187">
        <w:rPr>
          <w:rFonts w:asciiTheme="minorHAnsi" w:hAnsiTheme="minorHAnsi" w:cstheme="minorHAnsi"/>
          <w:sz w:val="22"/>
          <w:szCs w:val="22"/>
          <w:lang w:val="sr-Latn-BA"/>
        </w:rPr>
        <w:t>ῧ</w:t>
      </w:r>
      <w:r>
        <w:rPr>
          <w:rFonts w:asciiTheme="minorHAnsi" w:hAnsiTheme="minorHAnsi" w:cstheme="minorHAnsi"/>
          <w:sz w:val="22"/>
          <w:szCs w:val="22"/>
          <w:lang w:val="sr-Latn-BA"/>
        </w:rPr>
        <w:t>ллер</w:t>
      </w:r>
      <w:r w:rsidR="006B4867" w:rsidRPr="009C5187">
        <w:rPr>
          <w:rFonts w:asciiTheme="minorHAnsi" w:hAnsiTheme="minorHAnsi" w:cs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BA"/>
        </w:rPr>
        <w:t>Енгинееринг</w:t>
      </w:r>
      <w:r w:rsidR="006B4867" w:rsidRPr="009C5187">
        <w:rPr>
          <w:rFonts w:asciiTheme="minorHAnsi" w:hAnsiTheme="minorHAnsi" w:cs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BA"/>
        </w:rPr>
        <w:t>Гмбх</w:t>
      </w:r>
      <w:r w:rsidR="006B4867" w:rsidRPr="009C5187">
        <w:rPr>
          <w:rFonts w:asciiTheme="minorHAnsi" w:hAnsiTheme="minorHAnsi" w:cstheme="minorHAnsi"/>
          <w:sz w:val="22"/>
          <w:szCs w:val="22"/>
          <w:lang w:val="sr-Latn-B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BA"/>
        </w:rPr>
        <w:t>уз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ангажовање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локалних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инжењера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BA"/>
        </w:rPr>
        <w:t>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складу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Законом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уређењу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простора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грађењу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(„</w:t>
      </w:r>
      <w:r>
        <w:rPr>
          <w:rFonts w:asciiTheme="minorHAnsi" w:hAnsiTheme="minorHAnsi" w:cstheme="minorHAnsi"/>
          <w:sz w:val="22"/>
          <w:szCs w:val="22"/>
          <w:lang w:val="sr-Cyrl-BA"/>
        </w:rPr>
        <w:t>Службени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гласник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Републике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Српске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“, </w:t>
      </w:r>
      <w:r>
        <w:rPr>
          <w:rFonts w:asciiTheme="minorHAnsi" w:hAnsiTheme="minorHAnsi" w:cstheme="minorHAnsi"/>
          <w:sz w:val="22"/>
          <w:szCs w:val="22"/>
          <w:lang w:val="sr-Cyrl-BA"/>
        </w:rPr>
        <w:t>бр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. 40/13), </w:t>
      </w:r>
      <w:r>
        <w:rPr>
          <w:rFonts w:asciiTheme="minorHAnsi" w:hAnsiTheme="minorHAnsi" w:cstheme="minorHAnsi"/>
          <w:sz w:val="22"/>
          <w:szCs w:val="22"/>
          <w:lang w:val="sr-Cyrl-BA"/>
        </w:rPr>
        <w:t>Правилник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вршењу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надзора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(„</w:t>
      </w:r>
      <w:r>
        <w:rPr>
          <w:rFonts w:asciiTheme="minorHAnsi" w:hAnsiTheme="minorHAnsi" w:cstheme="minorHAnsi"/>
          <w:sz w:val="22"/>
          <w:szCs w:val="22"/>
          <w:lang w:val="sr-Cyrl-BA"/>
        </w:rPr>
        <w:t>Службени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гласник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Републике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Српске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“, </w:t>
      </w:r>
      <w:r>
        <w:rPr>
          <w:rFonts w:asciiTheme="minorHAnsi" w:hAnsiTheme="minorHAnsi" w:cstheme="minorHAnsi"/>
          <w:sz w:val="22"/>
          <w:szCs w:val="22"/>
          <w:lang w:val="sr-Cyrl-BA"/>
        </w:rPr>
        <w:t>бр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. 7/04)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осталим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важећим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прописима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BA"/>
        </w:rPr>
        <w:t>.</w:t>
      </w:r>
    </w:p>
    <w:p w:rsidR="006B4867" w:rsidRDefault="006B4867" w:rsidP="00815190">
      <w:pPr>
        <w:pStyle w:val="Heading3"/>
      </w:pPr>
      <w:bookmarkStart w:id="27" w:name="_Toc418075615"/>
      <w:bookmarkStart w:id="28" w:name="_Toc449404318"/>
      <w:r w:rsidRPr="009C5187">
        <w:t xml:space="preserve">3.2.4. </w:t>
      </w:r>
      <w:r w:rsidR="00DD65E6">
        <w:t>ХЕ</w:t>
      </w:r>
      <w:r w:rsidRPr="009C5187">
        <w:t xml:space="preserve"> „</w:t>
      </w:r>
      <w:r w:rsidR="00DD65E6">
        <w:t>УЛОГ</w:t>
      </w:r>
      <w:r w:rsidRPr="009C5187">
        <w:t>“</w:t>
      </w:r>
      <w:bookmarkEnd w:id="27"/>
      <w:bookmarkEnd w:id="28"/>
      <w:r w:rsidRPr="009C5187">
        <w:t xml:space="preserve"> </w:t>
      </w:r>
    </w:p>
    <w:p w:rsidR="006B4867" w:rsidRPr="009C5187" w:rsidRDefault="00DD65E6" w:rsidP="006B486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Приликом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провјере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рада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Концесионара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 w:cstheme="minorHAnsi"/>
          <w:sz w:val="22"/>
          <w:szCs w:val="22"/>
          <w:lang w:val="sr-Cyrl-CS"/>
        </w:rPr>
        <w:t>ЕФТ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– </w:t>
      </w:r>
      <w:r>
        <w:rPr>
          <w:rFonts w:asciiTheme="minorHAnsi" w:hAnsiTheme="minorHAnsi" w:cstheme="minorHAnsi"/>
          <w:sz w:val="22"/>
          <w:szCs w:val="22"/>
          <w:lang w:val="sr-Cyrl-CS"/>
        </w:rPr>
        <w:t>ХЕ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УЛОГ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“ </w:t>
      </w:r>
      <w:r>
        <w:rPr>
          <w:rFonts w:asciiTheme="minorHAnsi" w:hAnsiTheme="minorHAnsi" w:cstheme="minorHAnsi"/>
          <w:sz w:val="22"/>
          <w:szCs w:val="22"/>
          <w:lang w:val="sr-Cyrl-CS"/>
        </w:rPr>
        <w:t>д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>.</w:t>
      </w:r>
      <w:r>
        <w:rPr>
          <w:rFonts w:asciiTheme="minorHAnsi" w:hAnsiTheme="minorHAnsi" w:cstheme="minorHAns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>.</w:t>
      </w:r>
      <w:r>
        <w:rPr>
          <w:rFonts w:asciiTheme="minorHAnsi" w:hAnsiTheme="minorHAnsi" w:cstheme="minorHAns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r-Cyrl-CS"/>
        </w:rPr>
        <w:t>Калиновик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од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стране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Комисије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концесије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Републике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Српске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констатовано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стање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реализацији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пројекта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изградње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ХЕ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 w:cstheme="minorHAnsi"/>
          <w:sz w:val="22"/>
          <w:szCs w:val="22"/>
          <w:lang w:val="sr-Cyrl-CS"/>
        </w:rPr>
        <w:t>Улог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“ </w:t>
      </w:r>
      <w:r>
        <w:rPr>
          <w:rFonts w:asciiTheme="minorHAnsi" w:hAnsiTheme="minorHAnsi" w:cstheme="minorHAnsi"/>
          <w:sz w:val="22"/>
          <w:szCs w:val="22"/>
          <w:lang w:val="sr-Cyrl-CS"/>
        </w:rPr>
        <w:t>који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огледа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сљедећем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6B4867" w:rsidRPr="009C5187" w:rsidRDefault="00DD65E6" w:rsidP="006B486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Кроз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претходно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извршена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геолошка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истраживања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CS"/>
        </w:rPr>
        <w:t>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посебно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кроз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до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сада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изведене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грађевинске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радове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CS"/>
        </w:rPr>
        <w:t>недвосмислено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закључено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да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геолошки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услови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градилишту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ХЕ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 w:cstheme="minorHAnsi"/>
          <w:sz w:val="22"/>
          <w:szCs w:val="22"/>
          <w:lang w:val="sr-Cyrl-CS"/>
        </w:rPr>
        <w:t>Улог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“  </w:t>
      </w:r>
      <w:r>
        <w:rPr>
          <w:rFonts w:asciiTheme="minorHAnsi" w:hAnsiTheme="minorHAnsi" w:cstheme="minorHAnsi"/>
          <w:sz w:val="22"/>
          <w:szCs w:val="22"/>
          <w:lang w:val="sr-Cyrl-CS"/>
        </w:rPr>
        <w:t>веома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сложени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r-Cyrl-CS"/>
        </w:rPr>
        <w:t>Геолошки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услови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локацијама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будућих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кључних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објеката</w:t>
      </w:r>
      <w:r w:rsidR="00815190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брани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машинској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згради</w:t>
      </w:r>
      <w:r w:rsidR="00815190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битно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лошији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него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што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првобитно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претпостављано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том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смислу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сагласно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пројекту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истраживања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CS"/>
        </w:rPr>
        <w:t>завршена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допунска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геолошка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истраживања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четврте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фазе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локацији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бране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Недавић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машинске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зграде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Љусићима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овај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начин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заокружен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истарживачки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процес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пројекту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. </w:t>
      </w:r>
    </w:p>
    <w:p w:rsidR="006B4867" w:rsidRPr="009C5187" w:rsidRDefault="00DD65E6" w:rsidP="006B486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Тренутне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активности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су</w:t>
      </w:r>
      <w:r w:rsidR="006B4867" w:rsidRPr="009C5187">
        <w:rPr>
          <w:rFonts w:asciiTheme="minorHAnsi" w:hAnsiTheme="minorHAnsi" w:cstheme="minorHAnsi"/>
          <w:sz w:val="22"/>
          <w:szCs w:val="22"/>
          <w:lang w:val="sr-Cyrl-CS"/>
        </w:rPr>
        <w:t>:</w:t>
      </w:r>
    </w:p>
    <w:p w:rsidR="006B4867" w:rsidRPr="001E69D8" w:rsidRDefault="00DD65E6" w:rsidP="001E69D8">
      <w:pPr>
        <w:pStyle w:val="NoSpacing"/>
        <w:numPr>
          <w:ilvl w:val="0"/>
          <w:numId w:val="31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Препројектовање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допројектовање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грађевинских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објеката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сврху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прилагођавања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пројектних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рјешења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реалним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теренским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условима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>;</w:t>
      </w:r>
    </w:p>
    <w:p w:rsidR="006B4867" w:rsidRPr="001E69D8" w:rsidRDefault="00DD65E6" w:rsidP="001E69D8">
      <w:pPr>
        <w:pStyle w:val="NoSpacing"/>
        <w:numPr>
          <w:ilvl w:val="0"/>
          <w:numId w:val="31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Препројектовање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бране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прибранских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објеката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која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морала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помјерити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око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80 </w:t>
      </w:r>
      <w:r>
        <w:rPr>
          <w:rFonts w:asciiTheme="minorHAnsi" w:hAnsiTheme="minorHAnsi"/>
          <w:sz w:val="22"/>
          <w:szCs w:val="22"/>
          <w:lang w:val="sr-Cyrl-CS"/>
        </w:rPr>
        <w:t>м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низводном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смјеру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њихово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прилагођавање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реалним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геолошким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условима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налази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завршној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фази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очекује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верификација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техничке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документације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>;</w:t>
      </w:r>
    </w:p>
    <w:p w:rsidR="006B4867" w:rsidRPr="001E69D8" w:rsidRDefault="00DD65E6" w:rsidP="001E69D8">
      <w:pPr>
        <w:pStyle w:val="NoSpacing"/>
        <w:numPr>
          <w:ilvl w:val="0"/>
          <w:numId w:val="31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Настављено</w:t>
      </w:r>
      <w:r w:rsidR="00815190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експропријацијом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земљишта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простору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будућег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акумулационог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језера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>;</w:t>
      </w:r>
    </w:p>
    <w:p w:rsidR="006B4867" w:rsidRPr="001E69D8" w:rsidRDefault="00DD65E6" w:rsidP="001E69D8">
      <w:pPr>
        <w:pStyle w:val="NoSpacing"/>
        <w:numPr>
          <w:ilvl w:val="0"/>
          <w:numId w:val="31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Промијењена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позиција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улазне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грађевине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деривационог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тунела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због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нове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позиције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бране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>;</w:t>
      </w:r>
    </w:p>
    <w:p w:rsidR="006B4867" w:rsidRPr="001E69D8" w:rsidRDefault="00DD65E6" w:rsidP="001E69D8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lastRenderedPageBreak/>
        <w:t>Успостављен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систем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мониторинга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који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чини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мрежа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35 </w:t>
      </w:r>
      <w:r>
        <w:rPr>
          <w:rFonts w:asciiTheme="minorHAnsi" w:hAnsiTheme="minorHAnsi"/>
          <w:sz w:val="22"/>
          <w:szCs w:val="22"/>
          <w:lang w:val="sr-Cyrl-CS"/>
        </w:rPr>
        <w:t>репера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који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системски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периодично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осматрају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тако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региструју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промјене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земљишту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које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захваћено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клизиштем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изнад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машинске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зграде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>;</w:t>
      </w:r>
    </w:p>
    <w:p w:rsidR="006B4867" w:rsidRPr="001E69D8" w:rsidRDefault="00DD65E6" w:rsidP="001E69D8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Због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тога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извршено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препројектовање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сјеверног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дијела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деривационог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система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који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дислоциран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зоне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клизишта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помјерен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стијенски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масив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/>
          <w:sz w:val="22"/>
          <w:szCs w:val="22"/>
          <w:lang w:val="sr-Cyrl-CS"/>
        </w:rPr>
        <w:t>Град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“, </w:t>
      </w:r>
      <w:r>
        <w:rPr>
          <w:rFonts w:asciiTheme="minorHAnsi" w:hAnsiTheme="minorHAnsi"/>
          <w:sz w:val="22"/>
          <w:szCs w:val="22"/>
          <w:lang w:val="sr-Cyrl-CS"/>
        </w:rPr>
        <w:t>који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оцијењен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као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непомјерљив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>;</w:t>
      </w:r>
    </w:p>
    <w:p w:rsidR="006B4867" w:rsidRPr="001E69D8" w:rsidRDefault="00DD65E6" w:rsidP="001E69D8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Све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измјене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узроковале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већи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обим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радова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већа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улагања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тако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сада</w:t>
      </w:r>
      <w:r w:rsidR="00815190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815190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пројекат</w:t>
      </w:r>
      <w:r w:rsidR="00815190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уложено</w:t>
      </w:r>
      <w:r w:rsidR="00815190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око</w:t>
      </w:r>
      <w:r w:rsidR="00815190" w:rsidRPr="001E69D8">
        <w:rPr>
          <w:rFonts w:asciiTheme="minorHAnsi" w:hAnsiTheme="minorHAnsi"/>
          <w:sz w:val="22"/>
          <w:szCs w:val="22"/>
          <w:lang w:val="sr-Cyrl-CS"/>
        </w:rPr>
        <w:t xml:space="preserve"> 26.660.000,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00 </w:t>
      </w:r>
      <w:r>
        <w:rPr>
          <w:rFonts w:asciiTheme="minorHAnsi" w:hAnsiTheme="minorHAnsi"/>
          <w:sz w:val="22"/>
          <w:szCs w:val="22"/>
          <w:lang w:val="sr-Cyrl-CS"/>
        </w:rPr>
        <w:t>КМ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>;</w:t>
      </w:r>
    </w:p>
    <w:p w:rsidR="006B4867" w:rsidRPr="001E69D8" w:rsidRDefault="00DD65E6" w:rsidP="001E69D8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Сва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уложена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средства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реализована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кроз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закљученим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локалним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компанијама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>;</w:t>
      </w:r>
    </w:p>
    <w:p w:rsidR="006B4867" w:rsidRPr="001E69D8" w:rsidRDefault="00DD65E6" w:rsidP="001E69D8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Поред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све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проблематике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очекује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пролонгирање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изградње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кључних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објеката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годину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дана</w:t>
      </w:r>
      <w:r w:rsidR="006B4867" w:rsidRPr="001E69D8">
        <w:rPr>
          <w:rFonts w:asciiTheme="minorHAnsi" w:hAnsiTheme="minorHAnsi"/>
          <w:sz w:val="22"/>
          <w:szCs w:val="22"/>
          <w:lang w:val="sr-Cyrl-CS"/>
        </w:rPr>
        <w:t>.</w:t>
      </w:r>
    </w:p>
    <w:p w:rsidR="006B4867" w:rsidRPr="00815190" w:rsidRDefault="006B4867" w:rsidP="00815190">
      <w:pPr>
        <w:pStyle w:val="Heading3"/>
      </w:pPr>
      <w:bookmarkStart w:id="29" w:name="_Toc418075616"/>
      <w:bookmarkStart w:id="30" w:name="_Toc449404319"/>
      <w:r w:rsidRPr="009C5187">
        <w:t xml:space="preserve">3.2.5.  </w:t>
      </w:r>
      <w:r w:rsidR="00DD65E6">
        <w:t>ХЕ</w:t>
      </w:r>
      <w:r w:rsidRPr="009C5187">
        <w:t xml:space="preserve"> „</w:t>
      </w:r>
      <w:r w:rsidR="00DD65E6">
        <w:t>ДАБАР</w:t>
      </w:r>
      <w:r w:rsidRPr="009C5187">
        <w:t>“</w:t>
      </w:r>
      <w:bookmarkEnd w:id="29"/>
      <w:bookmarkEnd w:id="30"/>
      <w:r w:rsidRPr="009C5187">
        <w:t xml:space="preserve"> </w:t>
      </w:r>
    </w:p>
    <w:p w:rsidR="006B4867" w:rsidRPr="009C5187" w:rsidRDefault="00DD65E6" w:rsidP="006B4867">
      <w:p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Влада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Републике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Српске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AA5990" w:rsidRPr="009C5187">
        <w:rPr>
          <w:rFonts w:asciiTheme="minorHAnsi" w:hAnsiTheme="minorHAnsi"/>
          <w:sz w:val="22"/>
          <w:szCs w:val="22"/>
          <w:lang w:val="sr-Cyrl-CS"/>
        </w:rPr>
        <w:t xml:space="preserve"> 4.</w:t>
      </w:r>
      <w:r w:rsidR="00815190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AA5990" w:rsidRPr="009C5187">
        <w:rPr>
          <w:rFonts w:asciiTheme="minorHAnsi" w:hAnsiTheme="minorHAnsi"/>
          <w:sz w:val="22"/>
          <w:szCs w:val="22"/>
          <w:lang w:val="sr-Cyrl-CS"/>
        </w:rPr>
        <w:t xml:space="preserve">( </w:t>
      </w:r>
      <w:r>
        <w:rPr>
          <w:rFonts w:asciiTheme="minorHAnsi" w:hAnsiTheme="minorHAnsi"/>
          <w:sz w:val="22"/>
          <w:szCs w:val="22"/>
          <w:lang w:val="sr-Cyrl-CS"/>
        </w:rPr>
        <w:t>четвртој</w:t>
      </w:r>
      <w:r w:rsidR="00AA5990" w:rsidRPr="009C5187">
        <w:rPr>
          <w:rFonts w:asciiTheme="minorHAnsi" w:hAnsiTheme="minorHAnsi"/>
          <w:sz w:val="22"/>
          <w:szCs w:val="22"/>
          <w:lang w:val="sr-Cyrl-CS"/>
        </w:rPr>
        <w:t>)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тематској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сједници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од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19.04.2011.  </w:t>
      </w:r>
      <w:r>
        <w:rPr>
          <w:rFonts w:asciiTheme="minorHAnsi" w:hAnsiTheme="minorHAnsi"/>
          <w:sz w:val="22"/>
          <w:szCs w:val="22"/>
          <w:lang w:val="sr-Cyrl-CS"/>
        </w:rPr>
        <w:t>године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донијела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Одлуку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почетку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реализације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пројекта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хидроелектране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/>
          <w:sz w:val="22"/>
          <w:szCs w:val="22"/>
          <w:lang w:val="sr-Cyrl-CS"/>
        </w:rPr>
        <w:t>Дабар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“. </w:t>
      </w:r>
      <w:r>
        <w:rPr>
          <w:rFonts w:asciiTheme="minorHAnsi" w:hAnsiTheme="minorHAnsi"/>
          <w:sz w:val="22"/>
          <w:szCs w:val="22"/>
          <w:lang w:val="sr-Cyrl-CS"/>
        </w:rPr>
        <w:t>Од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тада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31.12.2015. </w:t>
      </w:r>
      <w:r>
        <w:rPr>
          <w:rFonts w:asciiTheme="minorHAnsi" w:hAnsiTheme="minorHAnsi"/>
          <w:sz w:val="22"/>
          <w:szCs w:val="22"/>
          <w:lang w:val="sr-Cyrl-CS"/>
        </w:rPr>
        <w:t>године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извршене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сљедеће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активности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: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Урађена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потребна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техничка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документација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добијена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грађевинска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дозвола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извођење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припремних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радова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изградњу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ХЕ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/>
          <w:sz w:val="22"/>
          <w:szCs w:val="22"/>
          <w:lang w:val="sr-Cyrl-CS"/>
        </w:rPr>
        <w:t>Дабар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“;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највећој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мјери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завршени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припремни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радови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– </w:t>
      </w:r>
      <w:r>
        <w:rPr>
          <w:rFonts w:asciiTheme="minorHAnsi" w:hAnsiTheme="minorHAnsi"/>
          <w:sz w:val="22"/>
          <w:szCs w:val="22"/>
          <w:lang w:val="sr-Cyrl-CS"/>
        </w:rPr>
        <w:t>приступни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путеви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водовод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водоснабдијевање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градилишта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далековод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трафостанице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20 </w:t>
      </w:r>
      <w:r>
        <w:rPr>
          <w:rFonts w:asciiTheme="minorHAnsi" w:hAnsiTheme="minorHAnsi"/>
          <w:sz w:val="22"/>
          <w:szCs w:val="22"/>
          <w:lang w:val="sr-Latn-BA"/>
        </w:rPr>
        <w:t>КВ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потребе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градилишта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осим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потребне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инфраструктуре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једном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приступних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путева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дужини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1000 </w:t>
      </w:r>
      <w:r>
        <w:rPr>
          <w:rFonts w:asciiTheme="minorHAnsi" w:hAnsiTheme="minorHAnsi"/>
          <w:sz w:val="22"/>
          <w:szCs w:val="22"/>
          <w:lang w:val="sr-Cyrl-BA"/>
        </w:rPr>
        <w:t>метара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због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неријешених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имовинско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>-</w:t>
      </w:r>
      <w:r>
        <w:rPr>
          <w:rFonts w:asciiTheme="minorHAnsi" w:hAnsiTheme="minorHAnsi"/>
          <w:sz w:val="22"/>
          <w:szCs w:val="22"/>
          <w:lang w:val="sr-Cyrl-BA"/>
        </w:rPr>
        <w:t>правних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односа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Cyrl-BA"/>
        </w:rPr>
        <w:t>судски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поступак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току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који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траје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више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>);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Завршен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ревидован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Главни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пројекат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хидроенергетског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постројења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Дабар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Добијена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грађевинска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дозвола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изградњу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доводног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тунела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улазне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грађевине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приступних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тунела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Завршено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цијепање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парцела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провођење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кроз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операт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све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објекте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акумулацију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(</w:t>
      </w:r>
      <w:r>
        <w:rPr>
          <w:rFonts w:asciiTheme="minorHAnsi" w:hAnsiTheme="minorHAnsi"/>
          <w:sz w:val="22"/>
          <w:szCs w:val="22"/>
          <w:lang w:val="sr-Cyrl-CS"/>
        </w:rPr>
        <w:t>осим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мањег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дијела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провођења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кроз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операт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);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Проведена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тендерска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процедура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(</w:t>
      </w:r>
      <w:r>
        <w:rPr>
          <w:rFonts w:asciiTheme="minorHAnsi" w:hAnsiTheme="minorHAnsi"/>
          <w:sz w:val="22"/>
          <w:szCs w:val="22"/>
          <w:lang w:val="sr-Cyrl-CS"/>
        </w:rPr>
        <w:t>отворен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поступак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јавне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набавке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)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радове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надзор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изградњи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доводног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тунела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улазне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грађевине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приступних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тунела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Изабрани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најповољнији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понуђачи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.</w:t>
      </w:r>
    </w:p>
    <w:p w:rsidR="006B4867" w:rsidRPr="009A679D" w:rsidRDefault="00DD65E6" w:rsidP="009A679D">
      <w:p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Треба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напоменути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реализацији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пројекта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проблеме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представља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покренут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управни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спор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страна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Министарства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околиша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туризма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Федерације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БиХ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Рјешење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одобравању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Студије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утицаја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пројекта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ХЕ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/>
          <w:sz w:val="22"/>
          <w:szCs w:val="22"/>
          <w:lang w:val="sr-Cyrl-CS"/>
        </w:rPr>
        <w:t>Дабар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“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животну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средину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издато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стране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Министарства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просторно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уређење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грађевинарства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екологије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Ово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неповољно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утиче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преговорима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релевантним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међународним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кредитним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институцијама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добијање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кредитних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средстава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што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представља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врло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битан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ограничавајући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фактор</w:t>
      </w:r>
      <w:r w:rsidR="002D5511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2D5511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динамици</w:t>
      </w:r>
      <w:r w:rsidR="002D5511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извршења</w:t>
      </w:r>
      <w:r w:rsidR="002D5511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радова</w:t>
      </w:r>
      <w:r w:rsidR="002D5511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тако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све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то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утиче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пролонгирање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рокова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реализацију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припремних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почетак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главних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радова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односу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дефинисан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план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реализације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њиховог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извршења</w:t>
      </w:r>
      <w:r w:rsidR="006B4867" w:rsidRPr="009A679D">
        <w:rPr>
          <w:rFonts w:asciiTheme="minorHAnsi" w:hAnsiTheme="minorHAnsi"/>
          <w:sz w:val="22"/>
          <w:szCs w:val="22"/>
          <w:lang w:val="sr-Cyrl-CS"/>
        </w:rPr>
        <w:t>.</w:t>
      </w:r>
    </w:p>
    <w:p w:rsidR="00CB7F83" w:rsidRPr="009C5187" w:rsidRDefault="00CB7F83" w:rsidP="006B4867">
      <w:pPr>
        <w:pStyle w:val="ListParagraph"/>
        <w:shd w:val="clear" w:color="auto" w:fill="FFFFFF"/>
        <w:ind w:left="54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6B4867" w:rsidRPr="002D5511" w:rsidRDefault="006B4867" w:rsidP="002D5511">
      <w:pPr>
        <w:pStyle w:val="Heading3"/>
      </w:pPr>
      <w:bookmarkStart w:id="31" w:name="_Toc418075617"/>
      <w:bookmarkStart w:id="32" w:name="_Toc449404320"/>
      <w:r w:rsidRPr="009C5187">
        <w:t>3.2.6.</w:t>
      </w:r>
      <w:r w:rsidR="00AA5990" w:rsidRPr="009C5187">
        <w:t xml:space="preserve"> </w:t>
      </w:r>
      <w:r w:rsidRPr="009C5187">
        <w:t>„</w:t>
      </w:r>
      <w:r w:rsidR="00DD65E6">
        <w:t>ГАС</w:t>
      </w:r>
      <w:r w:rsidRPr="009C5187">
        <w:t>-</w:t>
      </w:r>
      <w:r w:rsidR="00DD65E6">
        <w:t>РЕС</w:t>
      </w:r>
      <w:r w:rsidRPr="009C5187">
        <w:t xml:space="preserve">“ </w:t>
      </w:r>
      <w:r w:rsidR="00DD65E6">
        <w:t>д</w:t>
      </w:r>
      <w:r w:rsidRPr="009C5187">
        <w:t>.</w:t>
      </w:r>
      <w:r w:rsidR="00DD65E6">
        <w:t>о</w:t>
      </w:r>
      <w:r w:rsidRPr="009C5187">
        <w:t>.</w:t>
      </w:r>
      <w:r w:rsidR="00DD65E6">
        <w:t>о</w:t>
      </w:r>
      <w:r w:rsidRPr="009C5187">
        <w:t>.</w:t>
      </w:r>
      <w:bookmarkEnd w:id="31"/>
      <w:bookmarkEnd w:id="32"/>
      <w:r w:rsidRPr="009C5187">
        <w:t xml:space="preserve"> </w:t>
      </w:r>
    </w:p>
    <w:p w:rsidR="006B4867" w:rsidRPr="009C5187" w:rsidRDefault="006B4867" w:rsidP="006B4867">
      <w:pPr>
        <w:shd w:val="clear" w:color="auto" w:fill="FFFFFF"/>
        <w:jc w:val="both"/>
        <w:rPr>
          <w:rFonts w:asciiTheme="minorHAnsi" w:hAnsiTheme="minorHAnsi" w:cs="Calibri"/>
          <w:sz w:val="22"/>
          <w:szCs w:val="22"/>
          <w:lang w:val="sr-Cyrl-CS"/>
        </w:rPr>
      </w:pPr>
      <w:r w:rsidRPr="009C5187">
        <w:rPr>
          <w:rFonts w:asciiTheme="minorHAnsi" w:hAnsiTheme="minorHAnsi" w:cs="Calibri"/>
          <w:sz w:val="22"/>
          <w:szCs w:val="22"/>
          <w:lang w:val="sr-Cyrl-CS"/>
        </w:rPr>
        <w:t>„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Гас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>-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Рес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је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у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претходном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периоду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радио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на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активностима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око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реализације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пројекта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Јужни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Ток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у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Републици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Српској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.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Приликом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провођења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тих</w:t>
      </w:r>
      <w:r w:rsidR="002D5511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активности</w:t>
      </w:r>
      <w:r w:rsidR="002D5511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сусрео</w:t>
      </w:r>
      <w:r w:rsidR="002D5511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се</w:t>
      </w:r>
      <w:r w:rsidR="002D5511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са</w:t>
      </w:r>
      <w:r w:rsidR="002D5511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опструкцијом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од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стране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субјеката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у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Федерацији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БиХ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и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органа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на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БиХ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нивоу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.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Крајем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2014.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године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што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је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и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на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снази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и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2015.</w:t>
      </w:r>
      <w:r w:rsidR="002D5511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године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>, „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Газпром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је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привремено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зауставио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пројекат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Јужни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Ток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“,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што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је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довело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до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тога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да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Гас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>-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Рес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модификује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концепте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будућег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дјеловања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што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претпоставља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задржавање</w:t>
      </w:r>
      <w:r w:rsidR="001E69D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концепта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гасификације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Републике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Српске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и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његово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актуелизирање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кад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Газпром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одмрзне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 w:cs="Calibri"/>
          <w:sz w:val="22"/>
          <w:szCs w:val="22"/>
          <w:lang w:val="sr-Cyrl-CS"/>
        </w:rPr>
        <w:t>пројекат</w:t>
      </w:r>
      <w:r w:rsidRPr="009C5187">
        <w:rPr>
          <w:rFonts w:asciiTheme="minorHAnsi" w:hAnsiTheme="minorHAnsi" w:cs="Calibri"/>
          <w:sz w:val="22"/>
          <w:szCs w:val="22"/>
          <w:lang w:val="sr-Cyrl-CS"/>
        </w:rPr>
        <w:t xml:space="preserve">. </w:t>
      </w:r>
    </w:p>
    <w:p w:rsidR="006B4867" w:rsidRPr="009C5187" w:rsidRDefault="00DD65E6" w:rsidP="006B4867">
      <w:pPr>
        <w:shd w:val="clear" w:color="auto" w:fill="FFFFFF"/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lastRenderedPageBreak/>
        <w:t>Снабдијевање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руским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гасом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правца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Србије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остаје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опредјељење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Cyrl-CS"/>
        </w:rPr>
        <w:t>Гас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>-</w:t>
      </w:r>
      <w:r>
        <w:rPr>
          <w:rFonts w:asciiTheme="minorHAnsi" w:hAnsiTheme="minorHAnsi" w:cs="Calibri"/>
          <w:sz w:val="22"/>
          <w:szCs w:val="22"/>
          <w:lang w:val="sr-Cyrl-CS"/>
        </w:rPr>
        <w:t>Реса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“. </w:t>
      </w: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овом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тренутку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гасификација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Републике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Српске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реализоваће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постојећем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гасоводу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пошто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потписан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Уговор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директној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испоруци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гаса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Cyrl-CS"/>
        </w:rPr>
        <w:t>Газпром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Експортом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“, </w:t>
      </w:r>
      <w:r>
        <w:rPr>
          <w:rFonts w:asciiTheme="minorHAnsi" w:hAnsiTheme="minorHAnsi" w:cs="Calibri"/>
          <w:sz w:val="22"/>
          <w:szCs w:val="22"/>
          <w:lang w:val="sr-Cyrl-CS"/>
        </w:rPr>
        <w:t>чија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реализација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ће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бити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основа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дјеловања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овог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предузећа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. </w:t>
      </w:r>
    </w:p>
    <w:p w:rsidR="00CB7F83" w:rsidRPr="002D5511" w:rsidRDefault="00DD65E6" w:rsidP="006B4867">
      <w:pPr>
        <w:shd w:val="clear" w:color="auto" w:fill="FFFFFF"/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Комисија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Републике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Српске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приједлог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Министарства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индустрије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енергетике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рударства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03.12.2015. </w:t>
      </w:r>
      <w:r>
        <w:rPr>
          <w:rFonts w:asciiTheme="minorHAnsi" w:hAnsiTheme="minorHAnsi" w:cs="Calibri"/>
          <w:sz w:val="22"/>
          <w:szCs w:val="22"/>
          <w:lang w:val="sr-Cyrl-CS"/>
        </w:rPr>
        <w:t>године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дала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сагласност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</w:t>
      </w:r>
      <w:r w:rsidR="006B4867" w:rsidRPr="009C5187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потписивање</w:t>
      </w:r>
      <w:r w:rsidR="006B4867" w:rsidRPr="009C5187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Анекса</w:t>
      </w:r>
      <w:r w:rsidR="006B4867" w:rsidRPr="009C5187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Latn-BA"/>
        </w:rPr>
        <w:t>ИИ</w:t>
      </w:r>
      <w:r w:rsidR="006B4867" w:rsidRPr="009C5187">
        <w:rPr>
          <w:rFonts w:ascii="Calibri" w:hAnsi="Calibri"/>
          <w:sz w:val="22"/>
          <w:szCs w:val="22"/>
          <w:lang w:val="sr-Latn-BA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Уговора</w:t>
      </w:r>
      <w:r w:rsidR="006B4867" w:rsidRPr="009C5187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 w:rsidR="006B4867" w:rsidRPr="009C5187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концесији</w:t>
      </w:r>
      <w:r w:rsidR="006B4867" w:rsidRPr="009C5187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за</w:t>
      </w:r>
      <w:r w:rsidR="006B4867" w:rsidRPr="009C5187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пројектовање</w:t>
      </w:r>
      <w:r w:rsidR="006B4867" w:rsidRPr="009C5187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изградњу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кориштење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одржавање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дистрибутивног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гасног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система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прикључком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гасовод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код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„</w:t>
      </w:r>
      <w:r>
        <w:rPr>
          <w:rFonts w:ascii="Calibri" w:hAnsi="Calibri"/>
          <w:sz w:val="22"/>
          <w:szCs w:val="22"/>
          <w:lang w:val="sr-Cyrl-BA"/>
        </w:rPr>
        <w:t>Горњег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Шепка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“,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циљу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снабдијевања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општине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Бијељина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природним</w:t>
      </w:r>
      <w:r w:rsidR="006B4867" w:rsidRPr="009C5187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гасом</w:t>
      </w:r>
      <w:r w:rsidR="006B4867" w:rsidRPr="009C5187">
        <w:rPr>
          <w:rFonts w:ascii="Calibri" w:hAnsi="Calibri"/>
          <w:sz w:val="22"/>
          <w:szCs w:val="22"/>
          <w:lang w:val="sr-Cyrl-BA"/>
        </w:rPr>
        <w:t>.</w:t>
      </w:r>
    </w:p>
    <w:p w:rsidR="006B4867" w:rsidRPr="002D5511" w:rsidRDefault="006B4867" w:rsidP="002D5511">
      <w:pPr>
        <w:pStyle w:val="Heading3"/>
        <w:rPr>
          <w:lang w:val="sr-Cyrl-CS"/>
        </w:rPr>
      </w:pPr>
      <w:bookmarkStart w:id="33" w:name="_Toc449404321"/>
      <w:r w:rsidRPr="009C5187">
        <w:rPr>
          <w:lang w:val="sr-Cyrl-CS"/>
        </w:rPr>
        <w:t xml:space="preserve">3.2.7. </w:t>
      </w:r>
      <w:r w:rsidR="00DD65E6">
        <w:rPr>
          <w:lang w:val="sr-Cyrl-CS"/>
        </w:rPr>
        <w:t>ХЕ</w:t>
      </w:r>
      <w:r w:rsidRPr="009C5187">
        <w:rPr>
          <w:lang w:val="sr-Cyrl-CS"/>
        </w:rPr>
        <w:t xml:space="preserve"> „</w:t>
      </w:r>
      <w:r w:rsidR="00DD65E6">
        <w:rPr>
          <w:lang w:val="sr-Cyrl-CS"/>
        </w:rPr>
        <w:t>МРСОВО</w:t>
      </w:r>
      <w:r w:rsidRPr="009C5187">
        <w:rPr>
          <w:lang w:val="sr-Cyrl-CS"/>
        </w:rPr>
        <w:t>“</w:t>
      </w:r>
      <w:bookmarkEnd w:id="33"/>
      <w:r w:rsidRPr="009C5187">
        <w:rPr>
          <w:lang w:val="sr-Cyrl-CS"/>
        </w:rPr>
        <w:t xml:space="preserve"> </w:t>
      </w:r>
    </w:p>
    <w:p w:rsidR="006B4867" w:rsidRPr="009C5187" w:rsidRDefault="00DD65E6" w:rsidP="006B4867">
      <w:pPr>
        <w:shd w:val="clear" w:color="auto" w:fill="FFFFFF"/>
        <w:jc w:val="both"/>
        <w:rPr>
          <w:rFonts w:asciiTheme="minorHAns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Приликом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увида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документацију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провјеру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рада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Концесионара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реализацији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Уговора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концесији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изградњу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коришћење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ХЕ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Cyrl-CS"/>
        </w:rPr>
        <w:t>Мрсово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“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ријеци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Лиму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општина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Рудо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инсталисане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снаге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36,8 </w:t>
      </w:r>
      <w:r>
        <w:rPr>
          <w:rFonts w:asciiTheme="minorHAnsi" w:hAnsiTheme="minorHAnsi" w:cs="Calibri"/>
          <w:sz w:val="22"/>
          <w:szCs w:val="22"/>
          <w:lang w:val="sr-Cyrl-CS"/>
        </w:rPr>
        <w:t>М</w:t>
      </w:r>
      <w:r w:rsidR="006B4867" w:rsidRPr="009C5187">
        <w:rPr>
          <w:rFonts w:asciiTheme="minorHAnsi" w:hAnsiTheme="minorHAnsi" w:cs="Calibri"/>
          <w:sz w:val="22"/>
          <w:szCs w:val="22"/>
          <w:lang w:val="sr-Latn-BA"/>
        </w:rPr>
        <w:t>W</w:t>
      </w:r>
      <w:r w:rsidR="006B4867" w:rsidRPr="009C518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може</w:t>
      </w:r>
      <w:r w:rsidR="006B4867" w:rsidRPr="009C518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се</w:t>
      </w:r>
      <w:r w:rsidR="006B4867" w:rsidRPr="009C518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констатовати</w:t>
      </w:r>
      <w:r w:rsidR="006B4867" w:rsidRPr="009C518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сљедеће</w:t>
      </w:r>
      <w:r w:rsidR="006B4867" w:rsidRPr="009C5187">
        <w:rPr>
          <w:rFonts w:asciiTheme="minorHAnsi" w:hAnsiTheme="minorHAnsi" w:cs="Calibri"/>
          <w:sz w:val="22"/>
          <w:szCs w:val="22"/>
          <w:lang w:val="sr-Cyrl-BA"/>
        </w:rPr>
        <w:t>: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Концесионар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прибавио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неопходне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сагласности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дозволе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отпочињање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радова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изградњи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ХЕ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Cyrl-CS"/>
        </w:rPr>
        <w:t>Мрсово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>“;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Локацијске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услове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изградњу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ХЕ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Cyrl-CS"/>
        </w:rPr>
        <w:t>Мрсово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“, </w:t>
      </w:r>
      <w:r>
        <w:rPr>
          <w:rFonts w:asciiTheme="minorHAnsi" w:hAnsiTheme="minorHAnsi" w:cs="Calibri"/>
          <w:sz w:val="22"/>
          <w:szCs w:val="22"/>
          <w:lang w:val="sr-Cyrl-CS"/>
        </w:rPr>
        <w:t>број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: 15.02-364-120/13 </w:t>
      </w:r>
      <w:r>
        <w:rPr>
          <w:rFonts w:asciiTheme="minorHAnsi" w:hAnsiTheme="minorHAnsi" w:cs="Calibri"/>
          <w:sz w:val="22"/>
          <w:szCs w:val="22"/>
          <w:lang w:val="sr-Cyrl-CS"/>
        </w:rPr>
        <w:t>од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23.05.2013. </w:t>
      </w:r>
      <w:r>
        <w:rPr>
          <w:rFonts w:asciiTheme="minorHAnsi" w:hAnsiTheme="minorHAnsi" w:cs="Calibri"/>
          <w:sz w:val="22"/>
          <w:szCs w:val="22"/>
          <w:lang w:val="sr-Cyrl-CS"/>
        </w:rPr>
        <w:t>године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еколошку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дозволу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ХЕ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Cyrl-CS"/>
        </w:rPr>
        <w:t>Мрсово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“, </w:t>
      </w:r>
      <w:r>
        <w:rPr>
          <w:rFonts w:asciiTheme="minorHAnsi" w:hAnsiTheme="minorHAnsi" w:cs="Calibri"/>
          <w:sz w:val="22"/>
          <w:szCs w:val="22"/>
          <w:lang w:val="sr-Cyrl-CS"/>
        </w:rPr>
        <w:t>број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: 15.04.-96-34/14 </w:t>
      </w:r>
      <w:r>
        <w:rPr>
          <w:rFonts w:asciiTheme="minorHAnsi" w:hAnsiTheme="minorHAnsi" w:cs="Calibri"/>
          <w:sz w:val="22"/>
          <w:szCs w:val="22"/>
          <w:lang w:val="sr-Cyrl-CS"/>
        </w:rPr>
        <w:t>од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06.06.2014. </w:t>
      </w:r>
      <w:r>
        <w:rPr>
          <w:rFonts w:asciiTheme="minorHAnsi" w:hAnsiTheme="minorHAnsi" w:cs="Calibri"/>
          <w:sz w:val="22"/>
          <w:szCs w:val="22"/>
          <w:lang w:val="sr-Cyrl-CS"/>
        </w:rPr>
        <w:t>године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грађевинску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дозволу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припремне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радове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грађење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ХЕ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Cyrl-CS"/>
        </w:rPr>
        <w:t>Мрсово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“, </w:t>
      </w:r>
      <w:r>
        <w:rPr>
          <w:rFonts w:asciiTheme="minorHAnsi" w:hAnsiTheme="minorHAnsi" w:cs="Calibri"/>
          <w:sz w:val="22"/>
          <w:szCs w:val="22"/>
          <w:lang w:val="sr-Cyrl-CS"/>
        </w:rPr>
        <w:t>број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: 15.03-360-149/14 </w:t>
      </w:r>
      <w:r>
        <w:rPr>
          <w:rFonts w:asciiTheme="minorHAnsi" w:hAnsiTheme="minorHAnsi" w:cs="Calibri"/>
          <w:sz w:val="22"/>
          <w:szCs w:val="22"/>
          <w:lang w:val="sr-Cyrl-CS"/>
        </w:rPr>
        <w:t>од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20.06.2014. </w:t>
      </w:r>
      <w:r>
        <w:rPr>
          <w:rFonts w:asciiTheme="minorHAnsi" w:hAnsiTheme="minorHAnsi" w:cs="Calibri"/>
          <w:sz w:val="22"/>
          <w:szCs w:val="22"/>
          <w:lang w:val="sr-Cyrl-CS"/>
        </w:rPr>
        <w:t>године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спецификацију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катастарских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честица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којима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ће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реализовати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изградња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ХЕ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Cyrl-CS"/>
        </w:rPr>
        <w:t>Мрсово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“, </w:t>
      </w:r>
      <w:r>
        <w:rPr>
          <w:rFonts w:asciiTheme="minorHAnsi" w:hAnsiTheme="minorHAnsi" w:cs="Calibri"/>
          <w:sz w:val="22"/>
          <w:szCs w:val="22"/>
          <w:lang w:val="sr-Cyrl-CS"/>
        </w:rPr>
        <w:t>број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>: 1240/14;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Пројектна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документација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завршена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ревидована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чека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нострификацијом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од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стране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ЗИБЛА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>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Концесионар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ријешио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имовинско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>-</w:t>
      </w:r>
      <w:r>
        <w:rPr>
          <w:rFonts w:asciiTheme="minorHAnsi" w:hAnsiTheme="minorHAnsi" w:cs="Calibri"/>
          <w:sz w:val="22"/>
          <w:szCs w:val="22"/>
          <w:lang w:val="sr-Cyrl-CS"/>
        </w:rPr>
        <w:t>правне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односе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везано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локацију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бране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току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рјешавање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имовинско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>-</w:t>
      </w:r>
      <w:r>
        <w:rPr>
          <w:rFonts w:asciiTheme="minorHAnsi" w:hAnsiTheme="minorHAnsi" w:cs="Calibri"/>
          <w:sz w:val="22"/>
          <w:szCs w:val="22"/>
          <w:lang w:val="sr-Cyrl-CS"/>
        </w:rPr>
        <w:t>правних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односа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локацију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акумулације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>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Концесионар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врши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припреме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градњу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гдје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наилази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проблеме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објективних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разлога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нису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могли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завршити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предвиђеном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времену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међу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којима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недобијање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потребних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инпута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од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надлежних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институција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кашњење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експропријацијом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непокретности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проблеми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недостатком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сировине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(</w:t>
      </w:r>
      <w:r>
        <w:rPr>
          <w:rFonts w:asciiTheme="minorHAnsi" w:hAnsiTheme="minorHAnsi" w:cs="Calibri"/>
          <w:sz w:val="22"/>
          <w:szCs w:val="22"/>
          <w:lang w:val="sr-Cyrl-CS"/>
        </w:rPr>
        <w:t>камена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), </w:t>
      </w:r>
      <w:r>
        <w:rPr>
          <w:rFonts w:asciiTheme="minorHAnsi" w:hAnsiTheme="minorHAnsi" w:cs="Calibri"/>
          <w:sz w:val="22"/>
          <w:szCs w:val="22"/>
          <w:lang w:val="sr-Cyrl-CS"/>
        </w:rPr>
        <w:t>проблеми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вези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преговорима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извођачима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електране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др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>.;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складу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наведеним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Концесионар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обратио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Министарству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индустрије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енергетике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рударства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Приједлогом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Анекса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уговора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концесији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изградњу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коришћење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хидроелектране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Мрсово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ријеци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Лиму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општина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Рудо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који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односи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измјену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Уговора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концесији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начин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коригују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продуже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временски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рокови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>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Комисија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Републике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Српске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захтјев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Министарства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индустрије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енергетике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рударства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14.12.2015. </w:t>
      </w:r>
      <w:r>
        <w:rPr>
          <w:rFonts w:asciiTheme="minorHAnsi" w:hAnsiTheme="minorHAnsi" w:cs="Calibri"/>
          <w:sz w:val="22"/>
          <w:szCs w:val="22"/>
          <w:lang w:val="sr-Cyrl-CS"/>
        </w:rPr>
        <w:t>године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дала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сагласност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Приједлог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Анекса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уговора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тако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градња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очекује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2016. </w:t>
      </w:r>
      <w:r>
        <w:rPr>
          <w:rFonts w:asciiTheme="minorHAnsi" w:hAnsiTheme="minorHAnsi" w:cs="Calibri"/>
          <w:sz w:val="22"/>
          <w:szCs w:val="22"/>
          <w:lang w:val="sr-Cyrl-CS"/>
        </w:rPr>
        <w:t>години</w:t>
      </w:r>
      <w:r w:rsidR="006B4867" w:rsidRPr="009C5187">
        <w:rPr>
          <w:rFonts w:asciiTheme="minorHAnsi" w:hAnsiTheme="minorHAnsi" w:cs="Calibri"/>
          <w:sz w:val="22"/>
          <w:szCs w:val="22"/>
          <w:lang w:val="sr-Cyrl-CS"/>
        </w:rPr>
        <w:t xml:space="preserve">. </w:t>
      </w:r>
    </w:p>
    <w:p w:rsidR="006B4867" w:rsidRPr="004E7D53" w:rsidRDefault="006B4867" w:rsidP="00CB72BE">
      <w:pPr>
        <w:pStyle w:val="Heading3"/>
        <w:rPr>
          <w:lang w:val="sr-Cyrl-BA"/>
        </w:rPr>
      </w:pPr>
      <w:bookmarkStart w:id="34" w:name="_Toc418075618"/>
      <w:bookmarkStart w:id="35" w:name="_Toc449404322"/>
      <w:r w:rsidRPr="009C5187">
        <w:t xml:space="preserve">3.2.8. </w:t>
      </w:r>
      <w:r w:rsidR="00DD65E6">
        <w:t>Реализација</w:t>
      </w:r>
      <w:r w:rsidR="006724B2">
        <w:t xml:space="preserve"> </w:t>
      </w:r>
      <w:r w:rsidRPr="009C5187">
        <w:t xml:space="preserve"> </w:t>
      </w:r>
      <w:r w:rsidR="00DD65E6">
        <w:t>уговора</w:t>
      </w:r>
      <w:r w:rsidR="00B005BB">
        <w:t xml:space="preserve"> </w:t>
      </w:r>
      <w:r w:rsidR="00DD65E6">
        <w:t>за</w:t>
      </w:r>
      <w:r w:rsidRPr="009C5187">
        <w:t xml:space="preserve"> </w:t>
      </w:r>
      <w:r w:rsidR="00DD65E6">
        <w:t>изградњу</w:t>
      </w:r>
      <w:r w:rsidRPr="009C5187">
        <w:t xml:space="preserve"> </w:t>
      </w:r>
      <w:r w:rsidR="00DD65E6">
        <w:t>и</w:t>
      </w:r>
      <w:r w:rsidRPr="009C5187">
        <w:t xml:space="preserve"> </w:t>
      </w:r>
      <w:r w:rsidR="00DD65E6">
        <w:t>коришћење</w:t>
      </w:r>
      <w:r w:rsidRPr="009C5187">
        <w:t xml:space="preserve"> </w:t>
      </w:r>
      <w:r w:rsidR="00DD65E6">
        <w:t>малих</w:t>
      </w:r>
      <w:r w:rsidR="006724B2">
        <w:t xml:space="preserve"> </w:t>
      </w:r>
      <w:r w:rsidR="00DD65E6">
        <w:t>хидроелектрана</w:t>
      </w:r>
      <w:bookmarkEnd w:id="34"/>
      <w:bookmarkEnd w:id="35"/>
      <w:r w:rsidRPr="009C5187">
        <w:t xml:space="preserve"> </w:t>
      </w:r>
    </w:p>
    <w:p w:rsidR="00502096" w:rsidRPr="009C5187" w:rsidRDefault="00DD65E6" w:rsidP="00502096">
      <w:pPr>
        <w:shd w:val="clear" w:color="auto" w:fill="FFFFFF"/>
        <w:spacing w:after="120"/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реализацији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уговора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концесијама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области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малих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хидроелектрана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дошло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је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до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великог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напретка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што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се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прије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свега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огледа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чињеници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су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изграђене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пуштене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рад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сљедеће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МХЕ</w:t>
      </w:r>
      <w:r w:rsidR="00502096" w:rsidRPr="009C5187">
        <w:rPr>
          <w:rFonts w:asciiTheme="minorHAnsi" w:hAnsiTheme="minorHAnsi" w:cs="Calibri"/>
          <w:sz w:val="22"/>
          <w:szCs w:val="22"/>
          <w:lang w:val="sr-Cyrl-CS"/>
        </w:rPr>
        <w:t>:</w:t>
      </w:r>
    </w:p>
    <w:p w:rsidR="00502096" w:rsidRPr="0079718D" w:rsidRDefault="00DD65E6" w:rsidP="00502096">
      <w:pPr>
        <w:pStyle w:val="NoSpacing"/>
        <w:numPr>
          <w:ilvl w:val="0"/>
          <w:numId w:val="28"/>
        </w:numPr>
        <w:rPr>
          <w:rFonts w:asciiTheme="minorHAns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МХЕ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Cyrl-BA"/>
        </w:rPr>
        <w:t>Дуб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“ </w:t>
      </w:r>
      <w:r>
        <w:rPr>
          <w:rFonts w:asciiTheme="minorHAnsi" w:hAnsiTheme="minorHAnsi" w:cs="Calibri"/>
          <w:sz w:val="22"/>
          <w:szCs w:val="22"/>
          <w:lang w:val="sr-Cyrl-BA"/>
        </w:rPr>
        <w:t>на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ријеци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Прачи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инсталисане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снаге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9,4 </w:t>
      </w:r>
      <w:r>
        <w:rPr>
          <w:rFonts w:asciiTheme="minorHAnsi" w:hAnsiTheme="minorHAnsi"/>
          <w:sz w:val="22"/>
          <w:szCs w:val="22"/>
          <w:lang w:val="sr-Latn-CS"/>
        </w:rPr>
        <w:t>М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годишње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производње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44,16 </w:t>
      </w:r>
      <w:r>
        <w:rPr>
          <w:rFonts w:asciiTheme="minorHAnsi" w:hAnsiTheme="minorHAnsi"/>
          <w:sz w:val="22"/>
          <w:szCs w:val="22"/>
          <w:lang w:val="sr-Latn-CS"/>
        </w:rPr>
        <w:t>Г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>
        <w:rPr>
          <w:rFonts w:asciiTheme="minorHAnsi" w:hAnsiTheme="minorHAnsi"/>
          <w:sz w:val="22"/>
          <w:szCs w:val="22"/>
          <w:lang w:val="sr-Latn-CS"/>
        </w:rPr>
        <w:t>х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Концесионар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„</w:t>
      </w:r>
      <w:r>
        <w:rPr>
          <w:rFonts w:asciiTheme="minorHAnsi" w:hAnsiTheme="minorHAnsi"/>
          <w:sz w:val="22"/>
          <w:szCs w:val="22"/>
          <w:lang w:val="sr-Cyrl-BA"/>
        </w:rPr>
        <w:t>Хидроинвест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“ </w:t>
      </w:r>
      <w:r>
        <w:rPr>
          <w:rFonts w:asciiTheme="minorHAnsi" w:hAnsiTheme="minorHAnsi"/>
          <w:sz w:val="22"/>
          <w:szCs w:val="22"/>
          <w:lang w:val="sr-Cyrl-BA"/>
        </w:rPr>
        <w:t>д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Рогатица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;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</w:p>
    <w:p w:rsidR="00502096" w:rsidRPr="0079718D" w:rsidRDefault="00DD65E6" w:rsidP="00502096">
      <w:pPr>
        <w:pStyle w:val="NoSpacing"/>
        <w:numPr>
          <w:ilvl w:val="0"/>
          <w:numId w:val="28"/>
        </w:numPr>
        <w:rPr>
          <w:rFonts w:asciiTheme="minorHAns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МХЕ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Cyrl-BA"/>
        </w:rPr>
        <w:t>Устипрача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“ </w:t>
      </w:r>
      <w:r>
        <w:rPr>
          <w:rFonts w:asciiTheme="minorHAnsi" w:hAnsiTheme="minorHAnsi" w:cs="Calibri"/>
          <w:sz w:val="22"/>
          <w:szCs w:val="22"/>
          <w:lang w:val="sr-Cyrl-BA"/>
        </w:rPr>
        <w:t>на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ријеци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Прачи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инсталисане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снаге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6,9 </w:t>
      </w:r>
      <w:r>
        <w:rPr>
          <w:rFonts w:asciiTheme="minorHAnsi" w:hAnsiTheme="minorHAnsi"/>
          <w:sz w:val="22"/>
          <w:szCs w:val="22"/>
          <w:lang w:val="sr-Latn-CS"/>
        </w:rPr>
        <w:t>М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годишње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производње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35,35 </w:t>
      </w:r>
      <w:r>
        <w:rPr>
          <w:rFonts w:asciiTheme="minorHAnsi" w:hAnsiTheme="minorHAnsi"/>
          <w:sz w:val="22"/>
          <w:szCs w:val="22"/>
          <w:lang w:val="sr-Latn-CS"/>
        </w:rPr>
        <w:t>Г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>
        <w:rPr>
          <w:rFonts w:asciiTheme="minorHAnsi" w:hAnsiTheme="minorHAnsi"/>
          <w:sz w:val="22"/>
          <w:szCs w:val="22"/>
          <w:lang w:val="sr-Latn-CS"/>
        </w:rPr>
        <w:t>х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Концесионар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„</w:t>
      </w:r>
      <w:r>
        <w:rPr>
          <w:rFonts w:asciiTheme="minorHAnsi" w:hAnsiTheme="minorHAnsi"/>
          <w:sz w:val="22"/>
          <w:szCs w:val="22"/>
          <w:lang w:val="sr-Cyrl-BA"/>
        </w:rPr>
        <w:t>Хидроинвест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“ </w:t>
      </w:r>
      <w:r>
        <w:rPr>
          <w:rFonts w:asciiTheme="minorHAnsi" w:hAnsiTheme="minorHAnsi"/>
          <w:sz w:val="22"/>
          <w:szCs w:val="22"/>
          <w:lang w:val="sr-Cyrl-BA"/>
        </w:rPr>
        <w:t>д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Рогатица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;</w:t>
      </w:r>
    </w:p>
    <w:p w:rsidR="00502096" w:rsidRPr="0079718D" w:rsidRDefault="00DD65E6" w:rsidP="00502096">
      <w:pPr>
        <w:pStyle w:val="NoSpacing"/>
        <w:numPr>
          <w:ilvl w:val="0"/>
          <w:numId w:val="28"/>
        </w:numPr>
        <w:rPr>
          <w:rFonts w:asciiTheme="minorHAns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МХЕ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Cyrl-BA"/>
        </w:rPr>
        <w:t>Месићи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Нова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“ </w:t>
      </w:r>
      <w:r>
        <w:rPr>
          <w:rFonts w:asciiTheme="minorHAnsi" w:hAnsiTheme="minorHAnsi" w:cs="Calibri"/>
          <w:sz w:val="22"/>
          <w:szCs w:val="22"/>
          <w:lang w:val="sr-Cyrl-BA"/>
        </w:rPr>
        <w:t>на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ријеци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Прачи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инсталисане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снаге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5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М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Концесионар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„</w:t>
      </w:r>
      <w:r>
        <w:rPr>
          <w:rFonts w:asciiTheme="minorHAnsi" w:hAnsiTheme="minorHAnsi"/>
          <w:sz w:val="22"/>
          <w:szCs w:val="22"/>
          <w:lang w:val="sr-Cyrl-BA"/>
        </w:rPr>
        <w:t>МХ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Електропривреда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ЗП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Електродистрибуција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“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д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Пале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;</w:t>
      </w:r>
    </w:p>
    <w:p w:rsidR="00502096" w:rsidRPr="0079718D" w:rsidRDefault="00DD65E6" w:rsidP="00502096">
      <w:pPr>
        <w:pStyle w:val="NoSpacing"/>
        <w:numPr>
          <w:ilvl w:val="0"/>
          <w:numId w:val="28"/>
        </w:numPr>
        <w:rPr>
          <w:rFonts w:asciiTheme="minorHAns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lastRenderedPageBreak/>
        <w:t>МХЕ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Cyrl-BA"/>
        </w:rPr>
        <w:t>Запеће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“ </w:t>
      </w:r>
      <w:r>
        <w:rPr>
          <w:rFonts w:asciiTheme="minorHAnsi" w:hAnsiTheme="minorHAnsi" w:cs="Calibri"/>
          <w:sz w:val="22"/>
          <w:szCs w:val="22"/>
          <w:lang w:val="sr-Cyrl-BA"/>
        </w:rPr>
        <w:t>на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ријеци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Угар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инсталисане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снаге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4,1 </w:t>
      </w:r>
      <w:r>
        <w:rPr>
          <w:rFonts w:asciiTheme="minorHAnsi" w:hAnsiTheme="minorHAnsi"/>
          <w:sz w:val="22"/>
          <w:szCs w:val="22"/>
          <w:lang w:val="sr-Latn-CS"/>
        </w:rPr>
        <w:t>М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годишње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производње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14,9 </w:t>
      </w:r>
      <w:r>
        <w:rPr>
          <w:rFonts w:asciiTheme="minorHAnsi" w:hAnsiTheme="minorHAnsi"/>
          <w:sz w:val="22"/>
          <w:szCs w:val="22"/>
          <w:lang w:val="sr-Latn-CS"/>
        </w:rPr>
        <w:t>Г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>
        <w:rPr>
          <w:rFonts w:asciiTheme="minorHAnsi" w:hAnsiTheme="minorHAnsi"/>
          <w:sz w:val="22"/>
          <w:szCs w:val="22"/>
          <w:lang w:val="sr-Latn-CS"/>
        </w:rPr>
        <w:t>х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Концесионар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„</w:t>
      </w:r>
      <w:r>
        <w:rPr>
          <w:rFonts w:asciiTheme="minorHAnsi" w:hAnsiTheme="minorHAnsi"/>
          <w:sz w:val="22"/>
          <w:szCs w:val="22"/>
          <w:lang w:val="sr-Cyrl-BA"/>
        </w:rPr>
        <w:t>ЕХЕ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“ </w:t>
      </w:r>
      <w:r>
        <w:rPr>
          <w:rFonts w:asciiTheme="minorHAnsi" w:hAnsiTheme="minorHAnsi"/>
          <w:sz w:val="22"/>
          <w:szCs w:val="22"/>
          <w:lang w:val="sr-Cyrl-BA"/>
        </w:rPr>
        <w:t>д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Бања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Лука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Cyrl-BA"/>
        </w:rPr>
        <w:t>Металотехна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д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Кнежево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МХЕ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Запеће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Кнежево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);</w:t>
      </w:r>
    </w:p>
    <w:p w:rsidR="00502096" w:rsidRPr="0079718D" w:rsidRDefault="00DD65E6" w:rsidP="00502096">
      <w:pPr>
        <w:pStyle w:val="NoSpacing"/>
        <w:numPr>
          <w:ilvl w:val="0"/>
          <w:numId w:val="28"/>
        </w:numPr>
        <w:rPr>
          <w:rFonts w:asciiTheme="minorHAns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МХЕ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Cyrl-BA"/>
        </w:rPr>
        <w:t>Медна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“ </w:t>
      </w:r>
      <w:r>
        <w:rPr>
          <w:rFonts w:asciiTheme="minorHAnsi" w:hAnsiTheme="minorHAnsi" w:cs="Calibri"/>
          <w:sz w:val="22"/>
          <w:szCs w:val="22"/>
          <w:lang w:val="sr-Cyrl-BA"/>
        </w:rPr>
        <w:t>на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ријеци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Сани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инсталисане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снаге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4,9 </w:t>
      </w:r>
      <w:r>
        <w:rPr>
          <w:rFonts w:asciiTheme="minorHAnsi" w:hAnsiTheme="minorHAnsi"/>
          <w:sz w:val="22"/>
          <w:szCs w:val="22"/>
          <w:lang w:val="sr-Latn-CS"/>
        </w:rPr>
        <w:t>М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Концесионар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„</w:t>
      </w:r>
      <w:r>
        <w:rPr>
          <w:rFonts w:asciiTheme="minorHAnsi" w:hAnsiTheme="minorHAnsi"/>
          <w:sz w:val="22"/>
          <w:szCs w:val="22"/>
          <w:lang w:val="sr-Cyrl-BA"/>
        </w:rPr>
        <w:t>Интеренерго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“ </w:t>
      </w:r>
      <w:r>
        <w:rPr>
          <w:rFonts w:asciiTheme="minorHAnsi" w:hAnsiTheme="minorHAnsi"/>
          <w:sz w:val="22"/>
          <w:szCs w:val="22"/>
          <w:lang w:val="sr-Cyrl-BA"/>
        </w:rPr>
        <w:t>д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д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Љубљана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Latn-BA"/>
        </w:rPr>
        <w:t>ЛСБ</w:t>
      </w:r>
      <w:r w:rsidR="00502096" w:rsidRPr="0079718D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Електране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Бања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Лука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); </w:t>
      </w:r>
    </w:p>
    <w:p w:rsidR="00502096" w:rsidRPr="0079718D" w:rsidRDefault="00DD65E6" w:rsidP="00502096">
      <w:pPr>
        <w:pStyle w:val="NoSpacing"/>
        <w:numPr>
          <w:ilvl w:val="0"/>
          <w:numId w:val="28"/>
        </w:numPr>
        <w:rPr>
          <w:rFonts w:asciiTheme="minorHAns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МХЕ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Cyrl-BA"/>
        </w:rPr>
        <w:t>Испод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Кушлата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“ </w:t>
      </w:r>
      <w:r>
        <w:rPr>
          <w:rFonts w:asciiTheme="minorHAnsi" w:hAnsiTheme="minorHAnsi" w:cs="Calibri"/>
          <w:sz w:val="22"/>
          <w:szCs w:val="22"/>
          <w:lang w:val="sr-Cyrl-BA"/>
        </w:rPr>
        <w:t>на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ријеци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Дрињачи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инсталисане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снаге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0,95 </w:t>
      </w:r>
      <w:r>
        <w:rPr>
          <w:rFonts w:asciiTheme="minorHAnsi" w:hAnsiTheme="minorHAnsi"/>
          <w:sz w:val="22"/>
          <w:szCs w:val="22"/>
          <w:lang w:val="sr-Latn-CS"/>
        </w:rPr>
        <w:t>М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годишње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производње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6,5 </w:t>
      </w:r>
      <w:r>
        <w:rPr>
          <w:rFonts w:asciiTheme="minorHAnsi" w:hAnsiTheme="minorHAnsi"/>
          <w:sz w:val="22"/>
          <w:szCs w:val="22"/>
          <w:lang w:val="sr-Latn-CS"/>
        </w:rPr>
        <w:t>Г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>
        <w:rPr>
          <w:rFonts w:asciiTheme="minorHAnsi" w:hAnsiTheme="minorHAnsi"/>
          <w:sz w:val="22"/>
          <w:szCs w:val="22"/>
          <w:lang w:val="sr-Latn-CS"/>
        </w:rPr>
        <w:t>х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Концесионар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„</w:t>
      </w:r>
      <w:r>
        <w:rPr>
          <w:rFonts w:asciiTheme="minorHAnsi" w:hAnsiTheme="minorHAnsi"/>
          <w:sz w:val="22"/>
          <w:szCs w:val="22"/>
          <w:lang w:val="sr-Latn-BA"/>
        </w:rPr>
        <w:t>Ета</w:t>
      </w:r>
      <w:r w:rsidR="00502096" w:rsidRPr="0079718D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Енерг</w:t>
      </w:r>
      <w:r w:rsidR="00502096" w:rsidRPr="0079718D">
        <w:rPr>
          <w:rFonts w:asciiTheme="minorHAnsi" w:hAnsiTheme="minorHAnsi"/>
          <w:sz w:val="22"/>
          <w:szCs w:val="22"/>
          <w:lang w:val="sr-Latn-BA"/>
        </w:rPr>
        <w:t xml:space="preserve">y“ </w:t>
      </w:r>
      <w:r>
        <w:rPr>
          <w:rFonts w:asciiTheme="minorHAnsi" w:hAnsiTheme="minorHAnsi"/>
          <w:sz w:val="22"/>
          <w:szCs w:val="22"/>
          <w:lang w:val="sr-Cyrl-BA"/>
        </w:rPr>
        <w:t>д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Зворник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Latn-BA"/>
        </w:rPr>
        <w:t>Ета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Зворник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) – </w:t>
      </w:r>
      <w:r>
        <w:rPr>
          <w:rFonts w:asciiTheme="minorHAnsi" w:hAnsiTheme="minorHAnsi"/>
          <w:sz w:val="22"/>
          <w:szCs w:val="22"/>
          <w:lang w:val="sr-Cyrl-BA"/>
        </w:rPr>
        <w:t>пред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званично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пуштање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;</w:t>
      </w:r>
    </w:p>
    <w:p w:rsidR="00502096" w:rsidRPr="0079718D" w:rsidRDefault="00DD65E6" w:rsidP="00502096">
      <w:pPr>
        <w:pStyle w:val="NoSpacing"/>
        <w:numPr>
          <w:ilvl w:val="0"/>
          <w:numId w:val="28"/>
        </w:numPr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Концесионар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/>
          <w:sz w:val="22"/>
          <w:szCs w:val="22"/>
          <w:lang w:val="sr-Cyrl-CS"/>
        </w:rPr>
        <w:t>Мега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Електрик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“ </w:t>
      </w:r>
      <w:r>
        <w:rPr>
          <w:rFonts w:asciiTheme="minorHAnsi" w:hAnsiTheme="minorHAnsi"/>
          <w:sz w:val="22"/>
          <w:szCs w:val="22"/>
          <w:lang w:val="sr-Cyrl-CS"/>
        </w:rPr>
        <w:t>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>.</w:t>
      </w:r>
      <w:r>
        <w:rPr>
          <w:rFonts w:asciiTheme="minorHAnsi" w:hAnsiTheme="minorHAnsi"/>
          <w:sz w:val="22"/>
          <w:szCs w:val="22"/>
          <w:lang w:val="sr-Cyrl-CS"/>
        </w:rPr>
        <w:t>д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Бања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Лука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има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изграђен</w:t>
      </w:r>
      <w:r>
        <w:rPr>
          <w:rFonts w:asciiTheme="minorHAnsi" w:hAnsiTheme="minorHAnsi"/>
          <w:sz w:val="22"/>
          <w:szCs w:val="22"/>
        </w:rPr>
        <w:t>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три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производна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електроенергетска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 </w:t>
      </w:r>
      <w:r>
        <w:rPr>
          <w:rFonts w:asciiTheme="minorHAnsi" w:hAnsiTheme="minorHAnsi"/>
          <w:sz w:val="22"/>
          <w:szCs w:val="22"/>
          <w:lang w:val="sr-Cyrl-CS"/>
        </w:rPr>
        <w:t>објеката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то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:  </w:t>
      </w:r>
      <w:r>
        <w:rPr>
          <w:rFonts w:asciiTheme="minorHAnsi" w:hAnsiTheme="minorHAnsi"/>
          <w:sz w:val="22"/>
          <w:szCs w:val="22"/>
          <w:lang w:val="sr-Cyrl-CS"/>
        </w:rPr>
        <w:t>МХЕ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/>
          <w:sz w:val="22"/>
          <w:szCs w:val="22"/>
          <w:lang w:val="sr-Cyrl-CS"/>
        </w:rPr>
        <w:t>Жираја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“, </w:t>
      </w:r>
      <w:r>
        <w:rPr>
          <w:rFonts w:asciiTheme="minorHAnsi" w:hAnsiTheme="minorHAnsi"/>
          <w:sz w:val="22"/>
          <w:szCs w:val="22"/>
          <w:lang w:val="sr-Cyrl-CS"/>
        </w:rPr>
        <w:t>снаге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0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,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09 </w:t>
      </w:r>
      <w:r>
        <w:rPr>
          <w:rFonts w:asciiTheme="minorHAnsi" w:hAnsiTheme="minorHAnsi"/>
          <w:sz w:val="22"/>
          <w:szCs w:val="22"/>
          <w:lang w:val="sr-Latn-CS"/>
        </w:rPr>
        <w:t>М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годишње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производње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0,52 </w:t>
      </w:r>
      <w:r>
        <w:rPr>
          <w:rFonts w:asciiTheme="minorHAnsi" w:hAnsiTheme="minorHAnsi"/>
          <w:sz w:val="22"/>
          <w:szCs w:val="22"/>
          <w:lang w:val="sr-Latn-CS"/>
        </w:rPr>
        <w:t>Г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>
        <w:rPr>
          <w:rFonts w:asciiTheme="minorHAnsi" w:hAnsiTheme="minorHAnsi"/>
          <w:sz w:val="22"/>
          <w:szCs w:val="22"/>
          <w:lang w:val="sr-Latn-CS"/>
        </w:rPr>
        <w:t>х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МХЕ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/>
          <w:sz w:val="22"/>
          <w:szCs w:val="22"/>
          <w:lang w:val="sr-Cyrl-CS"/>
        </w:rPr>
        <w:t>Велика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Јасеница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“, </w:t>
      </w:r>
      <w:r>
        <w:rPr>
          <w:rFonts w:asciiTheme="minorHAnsi" w:hAnsiTheme="minorHAnsi"/>
          <w:sz w:val="22"/>
          <w:szCs w:val="22"/>
          <w:lang w:val="sr-Cyrl-CS"/>
        </w:rPr>
        <w:t>снаге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0,068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М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годишње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производње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0,04 </w:t>
      </w:r>
      <w:r>
        <w:rPr>
          <w:rFonts w:asciiTheme="minorHAnsi" w:hAnsiTheme="minorHAnsi"/>
          <w:sz w:val="22"/>
          <w:szCs w:val="22"/>
          <w:lang w:val="sr-Latn-CS"/>
        </w:rPr>
        <w:t>Г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>
        <w:rPr>
          <w:rFonts w:asciiTheme="minorHAnsi" w:hAnsiTheme="minorHAnsi"/>
          <w:sz w:val="22"/>
          <w:szCs w:val="22"/>
          <w:lang w:val="sr-Latn-CS"/>
        </w:rPr>
        <w:t>х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МХЕ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/>
          <w:sz w:val="22"/>
          <w:szCs w:val="22"/>
          <w:lang w:val="sr-Cyrl-CS"/>
        </w:rPr>
        <w:t>Жежеља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“ </w:t>
      </w:r>
      <w:r>
        <w:rPr>
          <w:rFonts w:asciiTheme="minorHAnsi" w:hAnsiTheme="minorHAnsi"/>
          <w:sz w:val="22"/>
          <w:szCs w:val="22"/>
          <w:lang w:val="sr-Cyrl-CS"/>
        </w:rPr>
        <w:t>снаге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0,073 </w:t>
      </w:r>
      <w:r>
        <w:rPr>
          <w:rFonts w:asciiTheme="minorHAnsi" w:hAnsiTheme="minorHAnsi"/>
          <w:sz w:val="22"/>
          <w:szCs w:val="22"/>
          <w:lang w:val="sr-Latn-CS"/>
        </w:rPr>
        <w:t>М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годишње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производње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 xml:space="preserve"> 0,42 </w:t>
      </w:r>
      <w:r>
        <w:rPr>
          <w:rFonts w:asciiTheme="minorHAnsi" w:hAnsiTheme="minorHAnsi"/>
          <w:sz w:val="22"/>
          <w:szCs w:val="22"/>
          <w:lang w:val="sr-Latn-CS"/>
        </w:rPr>
        <w:t>Г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>
        <w:rPr>
          <w:rFonts w:asciiTheme="minorHAnsi" w:hAnsiTheme="minorHAnsi"/>
          <w:sz w:val="22"/>
          <w:szCs w:val="22"/>
          <w:lang w:val="sr-Latn-CS"/>
        </w:rPr>
        <w:t>х</w:t>
      </w:r>
      <w:r w:rsidR="00502096" w:rsidRPr="0079718D">
        <w:rPr>
          <w:rFonts w:asciiTheme="minorHAnsi" w:hAnsiTheme="minorHAnsi"/>
          <w:sz w:val="22"/>
          <w:szCs w:val="22"/>
          <w:lang w:val="sr-Cyrl-BA"/>
        </w:rPr>
        <w:t>;</w:t>
      </w:r>
    </w:p>
    <w:p w:rsidR="00502096" w:rsidRPr="0079718D" w:rsidRDefault="00DD65E6" w:rsidP="00502096">
      <w:pPr>
        <w:pStyle w:val="NoSpacing"/>
        <w:numPr>
          <w:ilvl w:val="0"/>
          <w:numId w:val="28"/>
        </w:numPr>
        <w:rPr>
          <w:rFonts w:asciiTheme="minorHAnsi" w:hAnsiTheme="minorHAnsi" w:cs="Calibr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CS"/>
        </w:rPr>
        <w:t>Концесионар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/>
          <w:sz w:val="22"/>
          <w:szCs w:val="22"/>
          <w:lang w:val="sr-Cyrl-CS"/>
        </w:rPr>
        <w:t>Електро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Добој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“ </w:t>
      </w:r>
      <w:r>
        <w:rPr>
          <w:rFonts w:asciiTheme="minorHAnsi" w:hAnsiTheme="minorHAnsi"/>
          <w:sz w:val="22"/>
          <w:szCs w:val="22"/>
          <w:lang w:val="sr-Cyrl-CS"/>
        </w:rPr>
        <w:t>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>.</w:t>
      </w:r>
      <w:r>
        <w:rPr>
          <w:rFonts w:asciiTheme="minorHAnsi" w:hAnsiTheme="minorHAnsi"/>
          <w:sz w:val="22"/>
          <w:szCs w:val="22"/>
          <w:lang w:val="sr-Cyrl-CS"/>
        </w:rPr>
        <w:t>д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Добој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има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изграђен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један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производни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електроенергетски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објекат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МХЕ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/>
          <w:sz w:val="22"/>
          <w:szCs w:val="22"/>
          <w:lang w:val="sr-Cyrl-CS"/>
        </w:rPr>
        <w:t>Пакленица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“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ријеци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Пакленици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снаге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0,2 </w:t>
      </w:r>
      <w:r>
        <w:rPr>
          <w:rFonts w:asciiTheme="minorHAnsi" w:hAnsiTheme="minorHAnsi"/>
          <w:sz w:val="22"/>
          <w:szCs w:val="22"/>
          <w:lang w:val="sr-Latn-CS"/>
        </w:rPr>
        <w:t>М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 xml:space="preserve">W 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годишње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производње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1,8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Г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>
        <w:rPr>
          <w:rFonts w:asciiTheme="minorHAnsi" w:hAnsiTheme="minorHAnsi"/>
          <w:sz w:val="22"/>
          <w:szCs w:val="22"/>
          <w:lang w:val="sr-Latn-CS"/>
        </w:rPr>
        <w:t>х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>;</w:t>
      </w:r>
    </w:p>
    <w:p w:rsidR="00502096" w:rsidRPr="0079718D" w:rsidRDefault="00DD65E6" w:rsidP="00502096">
      <w:pPr>
        <w:pStyle w:val="NoSpacing"/>
        <w:numPr>
          <w:ilvl w:val="0"/>
          <w:numId w:val="28"/>
        </w:numPr>
        <w:rPr>
          <w:rFonts w:asciiTheme="minorHAns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Концесионар</w:t>
      </w:r>
      <w:r w:rsidR="00502096" w:rsidRPr="0079718D">
        <w:rPr>
          <w:rFonts w:asciiTheme="minorHAnsi" w:hAnsiTheme="minorHAnsi" w:cs="Calibri"/>
          <w:sz w:val="22"/>
          <w:szCs w:val="22"/>
          <w:lang w:val="sr-Cyrl-CS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Cyrl-BA"/>
        </w:rPr>
        <w:t>Симинг</w:t>
      </w:r>
      <w:r w:rsidR="00502096" w:rsidRPr="0079718D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Траде</w:t>
      </w:r>
      <w:r w:rsidR="00502096" w:rsidRPr="0079718D">
        <w:rPr>
          <w:rFonts w:asciiTheme="minorHAnsi" w:hAnsiTheme="minorHAnsi" w:cs="Calibri"/>
          <w:sz w:val="22"/>
          <w:szCs w:val="22"/>
          <w:lang w:val="sr-Latn-CS"/>
        </w:rPr>
        <w:t xml:space="preserve">“ </w:t>
      </w:r>
      <w:r>
        <w:rPr>
          <w:rFonts w:asciiTheme="minorHAnsi" w:hAnsiTheme="minorHAnsi" w:cs="Calibri"/>
          <w:sz w:val="22"/>
          <w:szCs w:val="22"/>
          <w:lang w:val="sr-Cyrl-BA"/>
        </w:rPr>
        <w:t>д</w:t>
      </w:r>
      <w:r w:rsidR="00502096" w:rsidRPr="0079718D">
        <w:rPr>
          <w:rFonts w:asciiTheme="minorHAnsi" w:hAnsiTheme="minorHAnsi" w:cs="Calibri"/>
          <w:sz w:val="22"/>
          <w:szCs w:val="22"/>
          <w:lang w:val="sr-Latn-CS"/>
        </w:rPr>
        <w:t>.</w:t>
      </w:r>
      <w:r>
        <w:rPr>
          <w:rFonts w:asciiTheme="minorHAnsi" w:hAnsiTheme="minorHAnsi" w:cs="Calibri"/>
          <w:sz w:val="22"/>
          <w:szCs w:val="22"/>
          <w:lang w:val="sr-Latn-CS"/>
        </w:rPr>
        <w:t>о</w:t>
      </w:r>
      <w:r w:rsidR="00502096" w:rsidRPr="0079718D">
        <w:rPr>
          <w:rFonts w:asciiTheme="minorHAnsi" w:hAnsiTheme="minorHAnsi" w:cs="Calibri"/>
          <w:sz w:val="22"/>
          <w:szCs w:val="22"/>
          <w:lang w:val="sr-Latn-CS"/>
        </w:rPr>
        <w:t>.</w:t>
      </w:r>
      <w:r>
        <w:rPr>
          <w:rFonts w:asciiTheme="minorHAnsi" w:hAnsiTheme="minorHAnsi" w:cs="Calibri"/>
          <w:sz w:val="22"/>
          <w:szCs w:val="22"/>
          <w:lang w:val="sr-Latn-CS"/>
        </w:rPr>
        <w:t>о</w:t>
      </w:r>
      <w:r w:rsidR="00502096" w:rsidRPr="0079718D">
        <w:rPr>
          <w:rFonts w:asciiTheme="minorHAnsi" w:hAnsiTheme="minorHAnsi" w:cs="Calibri"/>
          <w:sz w:val="22"/>
          <w:szCs w:val="22"/>
          <w:lang w:val="sr-Latn-CS"/>
        </w:rPr>
        <w:t xml:space="preserve">. </w:t>
      </w:r>
      <w:r>
        <w:rPr>
          <w:rFonts w:asciiTheme="minorHAnsi" w:hAnsiTheme="minorHAnsi" w:cs="Calibri"/>
          <w:sz w:val="22"/>
          <w:szCs w:val="22"/>
          <w:lang w:val="sr-Cyrl-BA"/>
        </w:rPr>
        <w:t>Фоча</w:t>
      </w:r>
      <w:r w:rsidR="00502096" w:rsidRPr="0079718D">
        <w:rPr>
          <w:rFonts w:asciiTheme="minorHAnsi" w:hAnsiTheme="minorHAnsi" w:cs="Calibr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CS"/>
        </w:rPr>
        <w:t>има</w:t>
      </w:r>
      <w:r w:rsidR="00502096" w:rsidRPr="0079718D">
        <w:rPr>
          <w:rFonts w:asciiTheme="minorHAnsi" w:hAnsiTheme="minorHAnsi" w:cs="Calibr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CS"/>
        </w:rPr>
        <w:t>изграђен</w:t>
      </w:r>
      <w:r w:rsidR="00502096" w:rsidRPr="0079718D">
        <w:rPr>
          <w:rFonts w:asciiTheme="minorHAnsi" w:hAnsiTheme="minorHAnsi" w:cs="Calibr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CS"/>
        </w:rPr>
        <w:t>један</w:t>
      </w:r>
      <w:r w:rsidR="00502096" w:rsidRPr="0079718D">
        <w:rPr>
          <w:rFonts w:asciiTheme="minorHAnsi" w:hAnsiTheme="minorHAnsi" w:cs="Calibr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CS"/>
        </w:rPr>
        <w:t>производни</w:t>
      </w:r>
      <w:r w:rsidR="00502096" w:rsidRPr="0079718D">
        <w:rPr>
          <w:rFonts w:asciiTheme="minorHAnsi" w:hAnsiTheme="minorHAnsi" w:cs="Calibr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CS"/>
        </w:rPr>
        <w:t>електроенергетски</w:t>
      </w:r>
      <w:r w:rsidR="00502096" w:rsidRPr="0079718D">
        <w:rPr>
          <w:rFonts w:asciiTheme="minorHAnsi" w:hAnsiTheme="minorHAnsi" w:cs="Calibr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CS"/>
        </w:rPr>
        <w:t>објекат</w:t>
      </w:r>
      <w:r w:rsidR="00502096" w:rsidRPr="0079718D">
        <w:rPr>
          <w:rFonts w:asciiTheme="minorHAnsi" w:hAnsiTheme="minorHAnsi" w:cs="Calibr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CS"/>
        </w:rPr>
        <w:t>МХЕ</w:t>
      </w:r>
      <w:r w:rsidR="00502096" w:rsidRPr="0079718D">
        <w:rPr>
          <w:rFonts w:asciiTheme="minorHAnsi" w:hAnsiTheme="minorHAnsi" w:cs="Calibri"/>
          <w:sz w:val="22"/>
          <w:szCs w:val="22"/>
          <w:lang w:val="sr-Latn-CS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Cyrl-CS"/>
        </w:rPr>
        <w:t>Отеша</w:t>
      </w:r>
      <w:r w:rsidR="00502096" w:rsidRPr="0079718D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Б</w:t>
      </w:r>
      <w:r w:rsidR="00502096" w:rsidRPr="0079718D">
        <w:rPr>
          <w:rFonts w:asciiTheme="minorHAnsi" w:hAnsiTheme="minorHAnsi" w:cs="Calibri"/>
          <w:sz w:val="22"/>
          <w:szCs w:val="22"/>
          <w:lang w:val="sr-Cyrl-CS"/>
        </w:rPr>
        <w:t>-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502096" w:rsidRPr="0079718D">
        <w:rPr>
          <w:rFonts w:asciiTheme="minorHAnsi" w:hAnsiTheme="minorHAnsi" w:cs="Calibri"/>
          <w:sz w:val="22"/>
          <w:szCs w:val="22"/>
          <w:lang w:val="sr-Cyrl-CS"/>
        </w:rPr>
        <w:t xml:space="preserve">-2“, </w:t>
      </w:r>
      <w:r>
        <w:rPr>
          <w:rFonts w:asciiTheme="minorHAnsi" w:hAnsiTheme="minorHAnsi" w:cs="Calibri"/>
          <w:sz w:val="22"/>
          <w:szCs w:val="22"/>
          <w:lang w:val="sr-Cyrl-CS"/>
        </w:rPr>
        <w:t>снаге</w:t>
      </w:r>
      <w:r w:rsidR="00502096" w:rsidRPr="0079718D">
        <w:rPr>
          <w:rFonts w:asciiTheme="minorHAnsi" w:hAnsiTheme="minorHAnsi" w:cs="Calibri"/>
          <w:sz w:val="22"/>
          <w:szCs w:val="22"/>
          <w:lang w:val="sr-Cyrl-CS"/>
        </w:rPr>
        <w:t xml:space="preserve"> 1,6 </w:t>
      </w:r>
      <w:r>
        <w:rPr>
          <w:rFonts w:asciiTheme="minorHAnsi" w:hAnsiTheme="minorHAnsi"/>
          <w:sz w:val="22"/>
          <w:szCs w:val="22"/>
          <w:lang w:val="sr-Latn-CS"/>
        </w:rPr>
        <w:t>М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 xml:space="preserve">W 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годишње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производње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 xml:space="preserve"> 5,6 </w:t>
      </w:r>
      <w:r>
        <w:rPr>
          <w:rFonts w:asciiTheme="minorHAnsi" w:hAnsiTheme="minorHAnsi"/>
          <w:sz w:val="22"/>
          <w:szCs w:val="22"/>
          <w:lang w:val="sr-Latn-CS"/>
        </w:rPr>
        <w:t>Г</w:t>
      </w:r>
      <w:r w:rsidR="00502096" w:rsidRPr="0079718D">
        <w:rPr>
          <w:rFonts w:asciiTheme="minorHAnsi" w:hAnsiTheme="minorHAnsi"/>
          <w:sz w:val="22"/>
          <w:szCs w:val="22"/>
          <w:lang w:val="sr-Latn-CS"/>
        </w:rPr>
        <w:t>W</w:t>
      </w:r>
      <w:r>
        <w:rPr>
          <w:rFonts w:asciiTheme="minorHAnsi" w:hAnsiTheme="minorHAnsi"/>
          <w:sz w:val="22"/>
          <w:szCs w:val="22"/>
          <w:lang w:val="sr-Latn-CS"/>
        </w:rPr>
        <w:t>х</w:t>
      </w:r>
      <w:r w:rsidR="00502096" w:rsidRPr="0079718D">
        <w:rPr>
          <w:rFonts w:asciiTheme="minorHAnsi" w:hAnsiTheme="minorHAnsi"/>
          <w:sz w:val="22"/>
          <w:szCs w:val="22"/>
          <w:lang w:val="sr-Cyrl-CS"/>
        </w:rPr>
        <w:t>;</w:t>
      </w:r>
    </w:p>
    <w:p w:rsidR="00502096" w:rsidRDefault="00DD65E6" w:rsidP="00502096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Концесионар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/>
          <w:sz w:val="22"/>
          <w:szCs w:val="22"/>
          <w:lang w:val="sr-Cyrl-CS"/>
        </w:rPr>
        <w:t>ЕРС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мале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хидроелектране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“ </w:t>
      </w:r>
      <w:r>
        <w:rPr>
          <w:rFonts w:asciiTheme="minorHAnsi" w:hAnsiTheme="minorHAnsi"/>
          <w:sz w:val="22"/>
          <w:szCs w:val="22"/>
          <w:lang w:val="sr-Cyrl-CS"/>
        </w:rPr>
        <w:t>д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>.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>.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Бања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Лука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(</w:t>
      </w:r>
      <w:r>
        <w:rPr>
          <w:rFonts w:asciiTheme="minorHAnsi" w:hAnsiTheme="minorHAnsi"/>
          <w:sz w:val="22"/>
          <w:szCs w:val="22"/>
          <w:lang w:val="sr-Latn-CS"/>
        </w:rPr>
        <w:t>Енерг</w:t>
      </w:r>
      <w:r w:rsidR="00502096" w:rsidRPr="009C5187">
        <w:rPr>
          <w:rFonts w:asciiTheme="minorHAnsi" w:hAnsiTheme="minorHAnsi"/>
          <w:sz w:val="22"/>
          <w:szCs w:val="22"/>
          <w:lang w:val="sr-Latn-CS"/>
        </w:rPr>
        <w:t xml:space="preserve">y </w:t>
      </w:r>
      <w:r>
        <w:rPr>
          <w:rFonts w:asciiTheme="minorHAnsi" w:hAnsiTheme="minorHAnsi"/>
          <w:sz w:val="22"/>
          <w:szCs w:val="22"/>
          <w:lang w:val="sr-Latn-CS"/>
        </w:rPr>
        <w:t>Зоттер</w:t>
      </w:r>
      <w:r w:rsidR="00502096" w:rsidRPr="009C518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Бау</w:t>
      </w:r>
      <w:r w:rsidR="00502096" w:rsidRPr="009C5187">
        <w:rPr>
          <w:rFonts w:asciiTheme="minorHAnsi" w:hAnsiTheme="minorHAnsi"/>
          <w:sz w:val="22"/>
          <w:szCs w:val="22"/>
          <w:lang w:val="sr-Latn-CS"/>
        </w:rPr>
        <w:t>)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има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изграђена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два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производна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електроенергетска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објекта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ријеци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Сућес</w:t>
      </w:r>
      <w:r>
        <w:rPr>
          <w:rFonts w:asciiTheme="minorHAnsi" w:hAnsiTheme="minorHAnsi"/>
          <w:sz w:val="22"/>
          <w:szCs w:val="22"/>
          <w:lang w:val="sr-Cyrl-BA"/>
        </w:rPr>
        <w:t>ц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502096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50209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то</w:t>
      </w:r>
      <w:r w:rsidR="00502096">
        <w:rPr>
          <w:rFonts w:asciiTheme="minorHAnsi" w:hAnsiTheme="minorHAnsi"/>
          <w:sz w:val="22"/>
          <w:szCs w:val="22"/>
          <w:lang w:val="sr-Cyrl-CS"/>
        </w:rPr>
        <w:t xml:space="preserve">: </w:t>
      </w:r>
      <w:r>
        <w:rPr>
          <w:rFonts w:asciiTheme="minorHAnsi" w:hAnsiTheme="minorHAnsi"/>
          <w:sz w:val="22"/>
          <w:szCs w:val="22"/>
          <w:lang w:val="sr-Cyrl-CS"/>
        </w:rPr>
        <w:t>МХЕ</w:t>
      </w:r>
      <w:r w:rsidR="0050209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>„</w:t>
      </w:r>
      <w:r>
        <w:rPr>
          <w:rFonts w:asciiTheme="minorHAnsi" w:hAnsiTheme="minorHAnsi"/>
          <w:sz w:val="22"/>
          <w:szCs w:val="22"/>
          <w:lang w:val="sr-Cyrl-CS"/>
        </w:rPr>
        <w:t>Сућеска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>-</w:t>
      </w:r>
      <w:r>
        <w:rPr>
          <w:rFonts w:asciiTheme="minorHAnsi" w:hAnsiTheme="minorHAnsi"/>
          <w:sz w:val="22"/>
          <w:szCs w:val="22"/>
          <w:lang w:val="sr-Cyrl-CS"/>
        </w:rPr>
        <w:t>С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-1“, </w:t>
      </w:r>
      <w:r>
        <w:rPr>
          <w:rFonts w:asciiTheme="minorHAnsi" w:hAnsiTheme="minorHAnsi"/>
          <w:sz w:val="22"/>
          <w:szCs w:val="22"/>
          <w:lang w:val="sr-Cyrl-CS"/>
        </w:rPr>
        <w:t>снаге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1,70 </w:t>
      </w:r>
      <w:r>
        <w:rPr>
          <w:rFonts w:asciiTheme="minorHAnsi" w:hAnsiTheme="minorHAnsi"/>
          <w:sz w:val="22"/>
          <w:szCs w:val="22"/>
          <w:lang w:val="sr-Latn-CS"/>
        </w:rPr>
        <w:t>М</w:t>
      </w:r>
      <w:r w:rsidR="00502096" w:rsidRPr="009C5187">
        <w:rPr>
          <w:rFonts w:asciiTheme="minorHAnsi" w:hAnsiTheme="minorHAnsi"/>
          <w:sz w:val="22"/>
          <w:szCs w:val="22"/>
          <w:lang w:val="sr-Latn-CS"/>
        </w:rPr>
        <w:t>W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годишње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производње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8,70 </w:t>
      </w:r>
      <w:r>
        <w:rPr>
          <w:rFonts w:asciiTheme="minorHAnsi" w:hAnsiTheme="minorHAnsi"/>
          <w:sz w:val="22"/>
          <w:szCs w:val="22"/>
          <w:lang w:val="sr-Latn-CS"/>
        </w:rPr>
        <w:t>Г</w:t>
      </w:r>
      <w:r w:rsidR="00502096" w:rsidRPr="009C5187">
        <w:rPr>
          <w:rFonts w:asciiTheme="minorHAnsi" w:hAnsiTheme="minorHAnsi"/>
          <w:sz w:val="22"/>
          <w:szCs w:val="22"/>
          <w:lang w:val="sr-Latn-CS"/>
        </w:rPr>
        <w:t>W</w:t>
      </w:r>
      <w:r>
        <w:rPr>
          <w:rFonts w:asciiTheme="minorHAnsi" w:hAnsiTheme="minorHAnsi"/>
          <w:sz w:val="22"/>
          <w:szCs w:val="22"/>
          <w:lang w:val="sr-Latn-CS"/>
        </w:rPr>
        <w:t>х</w:t>
      </w:r>
      <w:r w:rsidR="00502096" w:rsidRPr="009C518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МХЕ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/>
          <w:sz w:val="22"/>
          <w:szCs w:val="22"/>
          <w:lang w:val="sr-Cyrl-CS"/>
        </w:rPr>
        <w:t>Сућеска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>-</w:t>
      </w:r>
      <w:r>
        <w:rPr>
          <w:rFonts w:asciiTheme="minorHAnsi" w:hAnsiTheme="minorHAnsi"/>
          <w:sz w:val="22"/>
          <w:szCs w:val="22"/>
          <w:lang w:val="sr-Cyrl-CS"/>
        </w:rPr>
        <w:t>С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>-2“</w:t>
      </w:r>
      <w:r w:rsidR="00502096" w:rsidRPr="009C5187">
        <w:rPr>
          <w:rFonts w:asciiTheme="minorHAnsi" w:hAnsiTheme="minorHAnsi"/>
          <w:sz w:val="22"/>
          <w:szCs w:val="22"/>
          <w:lang w:val="sr-Latn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снаге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0,74</w:t>
      </w:r>
      <w:r w:rsidR="00502096" w:rsidRPr="009C518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М</w:t>
      </w:r>
      <w:r w:rsidR="00502096" w:rsidRPr="009C5187">
        <w:rPr>
          <w:rFonts w:asciiTheme="minorHAnsi" w:hAnsiTheme="minorHAnsi"/>
          <w:sz w:val="22"/>
          <w:szCs w:val="22"/>
          <w:lang w:val="sr-Latn-CS"/>
        </w:rPr>
        <w:t>W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годишње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производње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3,363</w:t>
      </w:r>
      <w:r w:rsidR="00502096" w:rsidRPr="009C518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Г</w:t>
      </w:r>
      <w:r w:rsidR="00502096" w:rsidRPr="009C5187">
        <w:rPr>
          <w:rFonts w:asciiTheme="minorHAnsi" w:hAnsiTheme="minorHAnsi"/>
          <w:sz w:val="22"/>
          <w:szCs w:val="22"/>
          <w:lang w:val="sr-Latn-CS"/>
        </w:rPr>
        <w:t>W</w:t>
      </w:r>
      <w:r>
        <w:rPr>
          <w:rFonts w:asciiTheme="minorHAnsi" w:hAnsiTheme="minorHAnsi"/>
          <w:sz w:val="22"/>
          <w:szCs w:val="22"/>
          <w:lang w:val="sr-Latn-CS"/>
        </w:rPr>
        <w:t>х</w:t>
      </w:r>
      <w:r w:rsidR="00502096">
        <w:rPr>
          <w:rFonts w:asciiTheme="minorHAnsi" w:hAnsiTheme="minorHAnsi"/>
          <w:sz w:val="22"/>
          <w:szCs w:val="22"/>
          <w:lang w:val="sr-Cyrl-CS"/>
        </w:rPr>
        <w:t>;</w:t>
      </w:r>
    </w:p>
    <w:p w:rsidR="00502096" w:rsidRPr="0079718D" w:rsidRDefault="00DD65E6" w:rsidP="00502096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Концесионар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/>
          <w:sz w:val="22"/>
          <w:szCs w:val="22"/>
          <w:lang w:val="sr-Cyrl-CS"/>
        </w:rPr>
        <w:t>ЕХЕ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“ </w:t>
      </w:r>
      <w:r>
        <w:rPr>
          <w:rFonts w:asciiTheme="minorHAnsi" w:hAnsiTheme="minorHAnsi"/>
          <w:sz w:val="22"/>
          <w:szCs w:val="22"/>
          <w:lang w:val="sr-Cyrl-CS"/>
        </w:rPr>
        <w:t>д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>.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>.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Бања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Лука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502096" w:rsidRPr="009C5187">
        <w:rPr>
          <w:rFonts w:asciiTheme="minorHAnsi" w:hAnsiTheme="minorHAnsi"/>
          <w:noProof/>
          <w:sz w:val="22"/>
          <w:szCs w:val="22"/>
          <w:lang w:val="sr-Latn-CS"/>
        </w:rPr>
        <w:t>(</w:t>
      </w:r>
      <w:r w:rsidR="00502096" w:rsidRPr="009C5187">
        <w:rPr>
          <w:rFonts w:asciiTheme="minorHAnsi" w:hAnsiTheme="minorHAnsi"/>
          <w:noProof/>
          <w:sz w:val="22"/>
          <w:szCs w:val="22"/>
          <w:lang w:val="sr-Cyrl-BA"/>
        </w:rPr>
        <w:t>„</w:t>
      </w:r>
      <w:r>
        <w:rPr>
          <w:rFonts w:asciiTheme="minorHAnsi" w:hAnsiTheme="minorHAnsi"/>
          <w:noProof/>
          <w:sz w:val="22"/>
          <w:szCs w:val="22"/>
          <w:lang w:val="sr-Latn-CS"/>
        </w:rPr>
        <w:t>Елинг</w:t>
      </w:r>
      <w:r w:rsidR="00502096" w:rsidRPr="009C5187">
        <w:rPr>
          <w:rFonts w:asciiTheme="minorHAnsi" w:hAnsiTheme="minorHAnsi"/>
          <w:noProof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val="sr-Latn-CS"/>
        </w:rPr>
        <w:t>Инжињеринг</w:t>
      </w:r>
      <w:r w:rsidR="00502096" w:rsidRPr="009C5187">
        <w:rPr>
          <w:rFonts w:asciiTheme="minorHAnsi" w:hAnsiTheme="minorHAnsi"/>
          <w:noProof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val="sr-Latn-CS"/>
        </w:rPr>
        <w:t>МХЕ</w:t>
      </w:r>
      <w:r w:rsidR="00502096" w:rsidRPr="009C5187">
        <w:rPr>
          <w:rFonts w:asciiTheme="minorHAnsi" w:hAnsiTheme="minorHAnsi"/>
          <w:noProof/>
          <w:sz w:val="22"/>
          <w:szCs w:val="22"/>
          <w:lang w:val="sr-Cyrl-BA"/>
        </w:rPr>
        <w:t>“</w:t>
      </w:r>
      <w:r w:rsidR="00502096" w:rsidRPr="009C5187">
        <w:rPr>
          <w:rFonts w:asciiTheme="minorHAnsi" w:hAnsiTheme="minorHAnsi"/>
          <w:noProof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val="sr-Cyrl-BA"/>
        </w:rPr>
        <w:t>д</w:t>
      </w:r>
      <w:r w:rsidR="00502096" w:rsidRPr="009C5187">
        <w:rPr>
          <w:rFonts w:asciiTheme="minorHAnsi" w:hAnsiTheme="minorHAnsi"/>
          <w:noProof/>
          <w:sz w:val="22"/>
          <w:szCs w:val="22"/>
          <w:lang w:val="sr-Latn-CS"/>
        </w:rPr>
        <w:t>.</w:t>
      </w:r>
      <w:r>
        <w:rPr>
          <w:rFonts w:asciiTheme="minorHAnsi" w:hAnsiTheme="minorHAnsi"/>
          <w:noProof/>
          <w:sz w:val="22"/>
          <w:szCs w:val="22"/>
          <w:lang w:val="sr-Latn-CS"/>
        </w:rPr>
        <w:t>о</w:t>
      </w:r>
      <w:r w:rsidR="00502096" w:rsidRPr="009C5187">
        <w:rPr>
          <w:rFonts w:asciiTheme="minorHAnsi" w:hAnsiTheme="minorHAnsi"/>
          <w:noProof/>
          <w:sz w:val="22"/>
          <w:szCs w:val="22"/>
          <w:lang w:val="sr-Latn-CS"/>
        </w:rPr>
        <w:t>.</w:t>
      </w:r>
      <w:r>
        <w:rPr>
          <w:rFonts w:asciiTheme="minorHAnsi" w:hAnsiTheme="minorHAnsi"/>
          <w:noProof/>
          <w:sz w:val="22"/>
          <w:szCs w:val="22"/>
          <w:lang w:val="sr-Latn-CS"/>
        </w:rPr>
        <w:t>о</w:t>
      </w:r>
      <w:r w:rsidR="00502096" w:rsidRPr="009C5187">
        <w:rPr>
          <w:rFonts w:asciiTheme="minorHAnsi" w:hAnsiTheme="minorHAnsi"/>
          <w:noProof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noProof/>
          <w:sz w:val="22"/>
          <w:szCs w:val="22"/>
          <w:lang w:val="sr-Cyrl-BA"/>
        </w:rPr>
        <w:t>Теслић</w:t>
      </w:r>
      <w:r w:rsidR="00502096" w:rsidRPr="009C5187">
        <w:rPr>
          <w:rFonts w:asciiTheme="minorHAnsi" w:hAnsiTheme="minorHAnsi"/>
          <w:noProof/>
          <w:sz w:val="22"/>
          <w:szCs w:val="22"/>
          <w:lang w:val="sr-Latn-CS"/>
        </w:rPr>
        <w:t>)</w:t>
      </w:r>
      <w:r w:rsidR="00502096" w:rsidRPr="009C5187">
        <w:rPr>
          <w:rFonts w:asciiTheme="minorHAnsi" w:hAnsiTheme="minorHAnsi"/>
          <w:noProof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има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изграђен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један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производни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електроенергетски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објекат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ријеци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Угар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МХЕ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/>
          <w:sz w:val="22"/>
          <w:szCs w:val="22"/>
          <w:lang w:val="sr-Cyrl-CS"/>
        </w:rPr>
        <w:t>Новаковићи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“, </w:t>
      </w:r>
      <w:r>
        <w:rPr>
          <w:rFonts w:asciiTheme="minorHAnsi" w:hAnsiTheme="minorHAnsi"/>
          <w:sz w:val="22"/>
          <w:szCs w:val="22"/>
          <w:lang w:val="sr-Cyrl-CS"/>
        </w:rPr>
        <w:t>снаге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4,9 </w:t>
      </w:r>
      <w:r>
        <w:rPr>
          <w:rFonts w:asciiTheme="minorHAnsi" w:hAnsiTheme="minorHAnsi"/>
          <w:sz w:val="22"/>
          <w:szCs w:val="22"/>
          <w:lang w:val="sr-Latn-CS"/>
        </w:rPr>
        <w:t>М</w:t>
      </w:r>
      <w:r w:rsidR="00502096" w:rsidRPr="009C5187">
        <w:rPr>
          <w:rFonts w:asciiTheme="minorHAnsi" w:hAnsiTheme="minorHAnsi"/>
          <w:sz w:val="22"/>
          <w:szCs w:val="22"/>
          <w:lang w:val="sr-Latn-CS"/>
        </w:rPr>
        <w:t>W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годишње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производње</w:t>
      </w:r>
      <w:r w:rsidR="00502096" w:rsidRPr="009C5187">
        <w:rPr>
          <w:rFonts w:asciiTheme="minorHAnsi" w:hAnsiTheme="minorHAnsi"/>
          <w:sz w:val="22"/>
          <w:szCs w:val="22"/>
          <w:lang w:val="sr-Cyrl-CS"/>
        </w:rPr>
        <w:t xml:space="preserve"> 18,5</w:t>
      </w:r>
      <w:r w:rsidR="00502096" w:rsidRPr="009C518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Г</w:t>
      </w:r>
      <w:r w:rsidR="00502096" w:rsidRPr="009C5187">
        <w:rPr>
          <w:rFonts w:asciiTheme="minorHAnsi" w:hAnsiTheme="minorHAnsi"/>
          <w:sz w:val="22"/>
          <w:szCs w:val="22"/>
          <w:lang w:val="sr-Latn-CS"/>
        </w:rPr>
        <w:t>W</w:t>
      </w:r>
      <w:r>
        <w:rPr>
          <w:rFonts w:asciiTheme="minorHAnsi" w:hAnsiTheme="minorHAnsi"/>
          <w:sz w:val="22"/>
          <w:szCs w:val="22"/>
          <w:lang w:val="sr-Latn-CS"/>
        </w:rPr>
        <w:t>х</w:t>
      </w:r>
      <w:r w:rsidR="00502096">
        <w:rPr>
          <w:rFonts w:asciiTheme="minorHAnsi" w:hAnsiTheme="minorHAnsi"/>
          <w:sz w:val="22"/>
          <w:szCs w:val="22"/>
          <w:lang w:val="sr-Cyrl-CS"/>
        </w:rPr>
        <w:t>;</w:t>
      </w:r>
    </w:p>
    <w:p w:rsidR="00502096" w:rsidRPr="0079718D" w:rsidRDefault="00502096" w:rsidP="00502096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Концесионар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C5187">
        <w:rPr>
          <w:rFonts w:asciiTheme="minorHAnsi" w:hAnsiTheme="minorHAnsi"/>
          <w:noProof/>
          <w:sz w:val="22"/>
          <w:szCs w:val="22"/>
          <w:lang w:val="sr-Latn-CS"/>
        </w:rPr>
        <w:t>„</w:t>
      </w:r>
      <w:r w:rsidR="00DD65E6">
        <w:rPr>
          <w:rFonts w:asciiTheme="minorHAnsi" w:hAnsiTheme="minorHAnsi"/>
          <w:noProof/>
          <w:sz w:val="22"/>
          <w:szCs w:val="22"/>
          <w:lang w:val="sr-Latn-CS"/>
        </w:rPr>
        <w:t>Бобар</w:t>
      </w:r>
      <w:r w:rsidRPr="009C5187">
        <w:rPr>
          <w:rFonts w:asciiTheme="minorHAnsi" w:hAnsiTheme="minorHAnsi"/>
          <w:noProof/>
          <w:sz w:val="22"/>
          <w:szCs w:val="22"/>
          <w:lang w:val="sr-Latn-CS"/>
        </w:rPr>
        <w:t xml:space="preserve"> </w:t>
      </w:r>
      <w:r w:rsidR="00DD65E6">
        <w:rPr>
          <w:rFonts w:asciiTheme="minorHAnsi" w:hAnsiTheme="minorHAnsi"/>
          <w:noProof/>
          <w:sz w:val="22"/>
          <w:szCs w:val="22"/>
          <w:lang w:val="sr-Latn-CS"/>
        </w:rPr>
        <w:t>Таубингер</w:t>
      </w:r>
      <w:r w:rsidRPr="009C5187">
        <w:rPr>
          <w:rFonts w:asciiTheme="minorHAnsi" w:hAnsiTheme="minorHAnsi"/>
          <w:noProof/>
          <w:sz w:val="22"/>
          <w:szCs w:val="22"/>
          <w:lang w:val="sr-Latn-CS"/>
        </w:rPr>
        <w:t xml:space="preserve"> </w:t>
      </w:r>
      <w:r w:rsidR="00DD65E6">
        <w:rPr>
          <w:rFonts w:asciiTheme="minorHAnsi" w:hAnsiTheme="minorHAnsi"/>
          <w:noProof/>
          <w:sz w:val="22"/>
          <w:szCs w:val="22"/>
          <w:lang w:val="sr-Latn-CS"/>
        </w:rPr>
        <w:t>Електрик</w:t>
      </w:r>
      <w:r w:rsidRPr="009C5187">
        <w:rPr>
          <w:rFonts w:asciiTheme="minorHAnsi" w:hAnsiTheme="minorHAnsi"/>
          <w:noProof/>
          <w:sz w:val="22"/>
          <w:szCs w:val="22"/>
          <w:lang w:val="sr-Latn-CS"/>
        </w:rPr>
        <w:t xml:space="preserve">“ </w:t>
      </w:r>
      <w:r w:rsidR="00DD65E6">
        <w:rPr>
          <w:rFonts w:asciiTheme="minorHAnsi" w:hAnsiTheme="minorHAnsi"/>
          <w:noProof/>
          <w:sz w:val="22"/>
          <w:szCs w:val="22"/>
          <w:lang w:val="sr-Cyrl-BA"/>
        </w:rPr>
        <w:t>д</w:t>
      </w:r>
      <w:r w:rsidRPr="009C5187">
        <w:rPr>
          <w:rFonts w:asciiTheme="minorHAnsi" w:hAnsiTheme="minorHAnsi"/>
          <w:noProof/>
          <w:sz w:val="22"/>
          <w:szCs w:val="22"/>
          <w:lang w:val="sr-Latn-CS"/>
        </w:rPr>
        <w:t>.</w:t>
      </w:r>
      <w:r w:rsidR="00DD65E6">
        <w:rPr>
          <w:rFonts w:asciiTheme="minorHAnsi" w:hAnsiTheme="minorHAnsi"/>
          <w:noProof/>
          <w:sz w:val="22"/>
          <w:szCs w:val="22"/>
          <w:lang w:val="sr-Latn-CS"/>
        </w:rPr>
        <w:t>о</w:t>
      </w:r>
      <w:r w:rsidRPr="009C5187">
        <w:rPr>
          <w:rFonts w:asciiTheme="minorHAnsi" w:hAnsiTheme="minorHAnsi"/>
          <w:noProof/>
          <w:sz w:val="22"/>
          <w:szCs w:val="22"/>
          <w:lang w:val="sr-Latn-CS"/>
        </w:rPr>
        <w:t>.</w:t>
      </w:r>
      <w:r w:rsidR="00DD65E6">
        <w:rPr>
          <w:rFonts w:asciiTheme="minorHAnsi" w:hAnsiTheme="minorHAnsi"/>
          <w:noProof/>
          <w:sz w:val="22"/>
          <w:szCs w:val="22"/>
          <w:lang w:val="sr-Latn-CS"/>
        </w:rPr>
        <w:t>о</w:t>
      </w:r>
      <w:r w:rsidRPr="009C5187">
        <w:rPr>
          <w:rFonts w:asciiTheme="minorHAnsi" w:hAnsiTheme="minorHAnsi"/>
          <w:noProof/>
          <w:sz w:val="22"/>
          <w:szCs w:val="22"/>
          <w:lang w:val="sr-Latn-CS"/>
        </w:rPr>
        <w:t xml:space="preserve">. </w:t>
      </w:r>
      <w:r w:rsidR="00DD65E6">
        <w:rPr>
          <w:rFonts w:asciiTheme="minorHAnsi" w:hAnsiTheme="minorHAnsi"/>
          <w:noProof/>
          <w:sz w:val="22"/>
          <w:szCs w:val="22"/>
          <w:lang w:val="sr-Cyrl-BA"/>
        </w:rPr>
        <w:t>Бијељина</w:t>
      </w:r>
      <w:r w:rsidRPr="009C5187">
        <w:rPr>
          <w:rFonts w:asciiTheme="minorHAnsi" w:hAnsiTheme="minorHAnsi"/>
          <w:noProof/>
          <w:sz w:val="22"/>
          <w:szCs w:val="22"/>
          <w:lang w:val="sr-Cyrl-BA"/>
        </w:rPr>
        <w:t xml:space="preserve"> </w:t>
      </w:r>
      <w:r w:rsidRPr="009C5187">
        <w:rPr>
          <w:rFonts w:asciiTheme="minorHAnsi" w:hAnsiTheme="minorHAnsi"/>
          <w:sz w:val="22"/>
          <w:szCs w:val="22"/>
          <w:lang w:val="sr-Cyrl-CS"/>
        </w:rPr>
        <w:t>(</w:t>
      </w:r>
      <w:r w:rsidR="00DD65E6">
        <w:rPr>
          <w:rFonts w:asciiTheme="minorHAnsi" w:hAnsiTheme="minorHAnsi"/>
          <w:sz w:val="22"/>
          <w:szCs w:val="22"/>
          <w:lang w:val="sr-Cyrl-CS"/>
        </w:rPr>
        <w:t>Компанија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Бобар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Бијељина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) </w:t>
      </w:r>
      <w:r w:rsidR="00DD65E6">
        <w:rPr>
          <w:rFonts w:asciiTheme="minorHAnsi" w:hAnsiTheme="minorHAnsi"/>
          <w:sz w:val="22"/>
          <w:szCs w:val="22"/>
          <w:lang w:val="sr-Cyrl-CS"/>
        </w:rPr>
        <w:t>има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изграђен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један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производни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електроенергетски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објекат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у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општини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Фоча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Бистрица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Б</w:t>
      </w:r>
      <w:r w:rsidRPr="009C5187">
        <w:rPr>
          <w:rFonts w:asciiTheme="minorHAnsi" w:hAnsiTheme="minorHAnsi"/>
          <w:sz w:val="22"/>
          <w:szCs w:val="22"/>
          <w:lang w:val="sr-Cyrl-CS"/>
        </w:rPr>
        <w:t>-5</w:t>
      </w:r>
      <w:r w:rsidR="00DD65E6">
        <w:rPr>
          <w:rFonts w:asciiTheme="minorHAnsi" w:hAnsiTheme="minorHAnsi"/>
          <w:sz w:val="22"/>
          <w:szCs w:val="22"/>
          <w:lang w:val="sr-Cyrl-CS"/>
        </w:rPr>
        <w:t>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“, </w:t>
      </w:r>
      <w:r w:rsidR="00DD65E6">
        <w:rPr>
          <w:rFonts w:asciiTheme="minorHAnsi" w:hAnsiTheme="minorHAnsi"/>
          <w:sz w:val="22"/>
          <w:szCs w:val="22"/>
          <w:lang w:val="sr-Cyrl-CS"/>
        </w:rPr>
        <w:t>снаге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3,8 </w:t>
      </w:r>
      <w:r w:rsidR="00DD65E6">
        <w:rPr>
          <w:rFonts w:asciiTheme="minorHAnsi" w:hAnsiTheme="minorHAnsi"/>
          <w:sz w:val="22"/>
          <w:szCs w:val="22"/>
          <w:lang w:val="sr-Latn-CS"/>
        </w:rPr>
        <w:t>М</w:t>
      </w:r>
      <w:r w:rsidRPr="009C5187">
        <w:rPr>
          <w:rFonts w:asciiTheme="minorHAnsi" w:hAnsiTheme="minorHAnsi"/>
          <w:sz w:val="22"/>
          <w:szCs w:val="22"/>
          <w:lang w:val="sr-Latn-CS"/>
        </w:rPr>
        <w:t>W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и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годишње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производње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11,0 </w:t>
      </w:r>
      <w:r w:rsidR="00DD65E6">
        <w:rPr>
          <w:rFonts w:asciiTheme="minorHAnsi" w:hAnsiTheme="minorHAnsi"/>
          <w:sz w:val="22"/>
          <w:szCs w:val="22"/>
          <w:lang w:val="sr-Latn-CS"/>
        </w:rPr>
        <w:t>Г</w:t>
      </w:r>
      <w:r>
        <w:rPr>
          <w:rFonts w:asciiTheme="minorHAnsi" w:hAnsiTheme="minorHAnsi"/>
          <w:sz w:val="22"/>
          <w:szCs w:val="22"/>
          <w:lang w:val="sr-Latn-CS"/>
        </w:rPr>
        <w:t>W</w:t>
      </w:r>
      <w:r w:rsidR="00DD65E6">
        <w:rPr>
          <w:rFonts w:asciiTheme="minorHAnsi" w:hAnsiTheme="minorHAnsi"/>
          <w:sz w:val="22"/>
          <w:szCs w:val="22"/>
          <w:lang w:val="sr-Latn-CS"/>
        </w:rPr>
        <w:t>х</w:t>
      </w:r>
      <w:r>
        <w:rPr>
          <w:rFonts w:asciiTheme="minorHAnsi" w:hAnsiTheme="minorHAnsi"/>
          <w:sz w:val="22"/>
          <w:szCs w:val="22"/>
          <w:lang w:val="sr-Cyrl-BA"/>
        </w:rPr>
        <w:t>.</w:t>
      </w:r>
    </w:p>
    <w:p w:rsidR="00502096" w:rsidRPr="009C5187" w:rsidRDefault="00502096" w:rsidP="00502096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Calibri"/>
          <w:sz w:val="22"/>
          <w:szCs w:val="22"/>
          <w:lang w:val="sr-Cyrl-CS"/>
        </w:rPr>
      </w:pPr>
      <w:r w:rsidRPr="009C5187">
        <w:rPr>
          <w:rFonts w:asciiTheme="minorHAnsi" w:hAnsiTheme="minorHAnsi"/>
          <w:sz w:val="22"/>
          <w:szCs w:val="22"/>
          <w:lang w:val="sr-Cyrl-CS"/>
        </w:rPr>
        <w:t>9.</w:t>
      </w:r>
      <w:r w:rsidR="00DD65E6">
        <w:rPr>
          <w:rFonts w:asciiTheme="minorHAnsi" w:hAnsiTheme="minorHAnsi"/>
          <w:sz w:val="22"/>
          <w:szCs w:val="22"/>
          <w:lang w:val="sr-Cyrl-CS"/>
        </w:rPr>
        <w:t>Концесионар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- </w:t>
      </w:r>
      <w:r w:rsidR="00DD65E6">
        <w:rPr>
          <w:rFonts w:asciiTheme="minorHAnsi" w:hAnsiTheme="minorHAnsi"/>
          <w:sz w:val="22"/>
          <w:szCs w:val="22"/>
          <w:lang w:val="sr-Cyrl-CS"/>
        </w:rPr>
        <w:t>ПРОМЕТ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CS"/>
        </w:rPr>
        <w:t>д</w:t>
      </w:r>
      <w:r w:rsidRPr="009C5187">
        <w:rPr>
          <w:rFonts w:asciiTheme="minorHAnsi" w:hAnsiTheme="minorHAnsi"/>
          <w:sz w:val="22"/>
          <w:szCs w:val="22"/>
          <w:lang w:val="sr-Cyrl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9C5187">
        <w:rPr>
          <w:rFonts w:asciiTheme="minorHAnsi" w:hAnsiTheme="minorHAnsi"/>
          <w:sz w:val="22"/>
          <w:szCs w:val="22"/>
          <w:lang w:val="sr-Cyrl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="00DD65E6">
        <w:rPr>
          <w:rFonts w:asciiTheme="minorHAnsi" w:hAnsiTheme="minorHAnsi"/>
          <w:sz w:val="22"/>
          <w:szCs w:val="22"/>
          <w:lang w:val="sr-Cyrl-CS"/>
        </w:rPr>
        <w:t>Котор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Варош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 </w:t>
      </w:r>
      <w:r w:rsidR="00DD65E6">
        <w:rPr>
          <w:rFonts w:asciiTheme="minorHAnsi" w:hAnsiTheme="minorHAnsi"/>
          <w:sz w:val="22"/>
          <w:szCs w:val="22"/>
          <w:lang w:val="sr-Cyrl-CS"/>
        </w:rPr>
        <w:t>има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изграђен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један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електроенергетски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објекат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Грабовица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CS"/>
        </w:rPr>
        <w:t>на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Грабовичкој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ријеци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="00DD65E6">
        <w:rPr>
          <w:rFonts w:asciiTheme="minorHAnsi" w:hAnsiTheme="minorHAnsi"/>
          <w:sz w:val="22"/>
          <w:szCs w:val="22"/>
          <w:lang w:val="sr-Cyrl-CS"/>
        </w:rPr>
        <w:t>притока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Врбање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="00DD65E6">
        <w:rPr>
          <w:rFonts w:asciiTheme="minorHAnsi" w:hAnsiTheme="minorHAnsi"/>
          <w:sz w:val="22"/>
          <w:szCs w:val="22"/>
          <w:lang w:val="sr-Cyrl-CS"/>
        </w:rPr>
        <w:t>снаге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0,5 </w:t>
      </w:r>
      <w:r w:rsidR="00DD65E6">
        <w:rPr>
          <w:rFonts w:asciiTheme="minorHAnsi" w:hAnsiTheme="minorHAnsi"/>
          <w:sz w:val="22"/>
          <w:szCs w:val="22"/>
          <w:lang w:val="sr-Latn-CS"/>
        </w:rPr>
        <w:t>М</w:t>
      </w:r>
      <w:r w:rsidRPr="009C5187">
        <w:rPr>
          <w:rFonts w:asciiTheme="minorHAnsi" w:hAnsiTheme="minorHAnsi"/>
          <w:sz w:val="22"/>
          <w:szCs w:val="22"/>
          <w:lang w:val="sr-Latn-CS"/>
        </w:rPr>
        <w:t>W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и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годишње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производње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2,7 </w:t>
      </w:r>
      <w:r w:rsidR="00DD65E6">
        <w:rPr>
          <w:rFonts w:asciiTheme="minorHAnsi" w:hAnsiTheme="minorHAnsi"/>
          <w:sz w:val="22"/>
          <w:szCs w:val="22"/>
          <w:lang w:val="sr-Latn-CS"/>
        </w:rPr>
        <w:t>Г</w:t>
      </w:r>
      <w:r w:rsidRPr="009C5187">
        <w:rPr>
          <w:rFonts w:asciiTheme="minorHAnsi" w:hAnsiTheme="minorHAnsi"/>
          <w:sz w:val="22"/>
          <w:szCs w:val="22"/>
          <w:lang w:val="sr-Latn-CS"/>
        </w:rPr>
        <w:t>W</w:t>
      </w:r>
      <w:r w:rsidR="00DD65E6">
        <w:rPr>
          <w:rFonts w:asciiTheme="minorHAnsi" w:hAnsiTheme="minorHAnsi"/>
          <w:sz w:val="22"/>
          <w:szCs w:val="22"/>
          <w:lang w:val="sr-Latn-CS"/>
        </w:rPr>
        <w:t>х</w:t>
      </w:r>
      <w:r w:rsidRPr="009C5187">
        <w:rPr>
          <w:rFonts w:asciiTheme="minorHAnsi" w:hAnsiTheme="minorHAnsi"/>
          <w:sz w:val="22"/>
          <w:szCs w:val="22"/>
          <w:lang w:val="sr-Cyrl-CS"/>
        </w:rPr>
        <w:t>.</w:t>
      </w:r>
    </w:p>
    <w:p w:rsidR="006B4867" w:rsidRDefault="00DD65E6" w:rsidP="006B4867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Значајно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истаћи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Закон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обновљивим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изворима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енергије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ефикасној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когенерацији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усвојен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2013. </w:t>
      </w:r>
      <w:r>
        <w:rPr>
          <w:rFonts w:asciiTheme="minorHAnsi" w:hAnsiTheme="minorHAnsi"/>
          <w:sz w:val="22"/>
          <w:szCs w:val="22"/>
          <w:lang w:val="sr-Cyrl-CS"/>
        </w:rPr>
        <w:t>години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(„</w:t>
      </w:r>
      <w:r>
        <w:rPr>
          <w:rFonts w:asciiTheme="minorHAnsi" w:hAnsiTheme="minorHAnsi"/>
          <w:sz w:val="22"/>
          <w:szCs w:val="22"/>
          <w:lang w:val="sr-Cyrl-CS"/>
        </w:rPr>
        <w:t>Службени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гласник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Републике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Српске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“, </w:t>
      </w:r>
      <w:r>
        <w:rPr>
          <w:rFonts w:asciiTheme="minorHAnsi" w:hAnsiTheme="minorHAnsi"/>
          <w:sz w:val="22"/>
          <w:szCs w:val="22"/>
          <w:lang w:val="sr-Cyrl-CS"/>
        </w:rPr>
        <w:t>број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: 39/13), </w:t>
      </w:r>
      <w:r>
        <w:rPr>
          <w:rFonts w:asciiTheme="minorHAnsi" w:hAnsiTheme="minorHAnsi"/>
          <w:sz w:val="22"/>
          <w:szCs w:val="22"/>
          <w:lang w:val="sr-Cyrl-CS"/>
        </w:rPr>
        <w:t>као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амандман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Закон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обновљивим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изворима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енергије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ефикасној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когенерацији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(„</w:t>
      </w:r>
      <w:r>
        <w:rPr>
          <w:rFonts w:asciiTheme="minorHAnsi" w:hAnsiTheme="minorHAnsi"/>
          <w:sz w:val="22"/>
          <w:szCs w:val="22"/>
          <w:lang w:val="sr-Cyrl-CS"/>
        </w:rPr>
        <w:t>Службени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гласник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Републике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Српске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“, </w:t>
      </w:r>
      <w:r>
        <w:rPr>
          <w:rFonts w:asciiTheme="minorHAnsi" w:hAnsiTheme="minorHAnsi"/>
          <w:sz w:val="22"/>
          <w:szCs w:val="22"/>
          <w:lang w:val="sr-Cyrl-CS"/>
        </w:rPr>
        <w:t>број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: 108/13). </w:t>
      </w:r>
      <w:r>
        <w:rPr>
          <w:rFonts w:asciiTheme="minorHAnsi" w:hAnsiTheme="minorHAnsi"/>
          <w:sz w:val="22"/>
          <w:szCs w:val="22"/>
          <w:lang w:val="sr-Cyrl-CS"/>
        </w:rPr>
        <w:t>Ови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акти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примарног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законодавства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имали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директан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утицај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активности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надлежности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РЕРС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-</w:t>
      </w:r>
      <w:r>
        <w:rPr>
          <w:rFonts w:asciiTheme="minorHAnsi" w:hAnsiTheme="minorHAnsi"/>
          <w:sz w:val="22"/>
          <w:szCs w:val="22"/>
          <w:lang w:val="sr-Cyrl-CS"/>
        </w:rPr>
        <w:t>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оквиру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обновљивих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извора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енергије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ефикасној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когенерацији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односно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РЕРС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сада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уз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сагласност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Владе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Републике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Српске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усвојио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:</w:t>
      </w:r>
    </w:p>
    <w:p w:rsidR="00597754" w:rsidRPr="00597754" w:rsidRDefault="00597754" w:rsidP="006B4867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Правилник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измјенама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допунама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Правилника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подстицању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производње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електричне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енергије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обновљивих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извора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ефикасној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когенерацији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Стандарде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квалитета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снабдијевања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електричном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енергијом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; 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Одлуку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висини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гарантованих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откупних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цијена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премија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електричну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енергију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произведену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обновљивих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извора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ефикасној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когенерацији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; 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Одлуку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висини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подстицање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производње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електричне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енергије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обновљивих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извора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ефикасној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когенерацији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;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Правилник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снабдијевању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квалификованих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купаца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електричном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енергијом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поступку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промјене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снабдјевача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.</w:t>
      </w:r>
    </w:p>
    <w:p w:rsidR="006B4867" w:rsidRDefault="006B4867" w:rsidP="006B4867">
      <w:pPr>
        <w:pStyle w:val="ListParagraph"/>
        <w:shd w:val="clear" w:color="auto" w:fill="FFFFFF"/>
        <w:ind w:left="54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597754" w:rsidRDefault="00597754" w:rsidP="006B4867">
      <w:pPr>
        <w:pStyle w:val="ListParagraph"/>
        <w:shd w:val="clear" w:color="auto" w:fill="FFFFFF"/>
        <w:ind w:left="54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597754" w:rsidRDefault="00597754" w:rsidP="006B4867">
      <w:pPr>
        <w:pStyle w:val="ListParagraph"/>
        <w:shd w:val="clear" w:color="auto" w:fill="FFFFFF"/>
        <w:ind w:left="54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6B4867" w:rsidRPr="009C5187" w:rsidRDefault="00DD65E6" w:rsidP="006B4867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lastRenderedPageBreak/>
        <w:t>Поред</w:t>
      </w:r>
      <w:r w:rsidR="006B4867" w:rsidRPr="009C518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1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>5</w:t>
      </w:r>
      <w:r w:rsidR="006B4867" w:rsidRPr="009C518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(</w:t>
      </w:r>
      <w:r>
        <w:rPr>
          <w:rFonts w:asciiTheme="minorHAnsi" w:hAnsiTheme="minorHAnsi"/>
          <w:sz w:val="22"/>
          <w:szCs w:val="22"/>
          <w:lang w:val="sr-Cyrl-BA"/>
        </w:rPr>
        <w:t>петнаест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>)</w:t>
      </w:r>
      <w:r w:rsidR="006B4867" w:rsidRPr="009C518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изграђених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малих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хидроелектрана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,</w:t>
      </w:r>
      <w:r w:rsidR="006B4867" w:rsidRPr="009C518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AA5990" w:rsidRPr="009C5187">
        <w:rPr>
          <w:rFonts w:asciiTheme="minorHAnsi" w:hAnsiTheme="minorHAnsi"/>
          <w:sz w:val="22"/>
          <w:szCs w:val="22"/>
          <w:lang w:val="sr-Cyrl-CS"/>
        </w:rPr>
        <w:t>7</w:t>
      </w:r>
      <w:r w:rsidR="009C7D0F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малих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хидроелектрана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налазе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пред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пуштањем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или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поодмаклој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фази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градње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:</w:t>
      </w:r>
    </w:p>
    <w:p w:rsidR="001F089A" w:rsidRDefault="006B4867" w:rsidP="00B21446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 w:rsidRPr="009C5187">
        <w:rPr>
          <w:rFonts w:asciiTheme="minorHAnsi" w:hAnsiTheme="minorHAnsi"/>
          <w:sz w:val="22"/>
          <w:szCs w:val="22"/>
          <w:lang w:val="sr-Cyrl-CS"/>
        </w:rPr>
        <w:t>„</w:t>
      </w:r>
      <w:r w:rsidR="00DD65E6">
        <w:rPr>
          <w:rFonts w:asciiTheme="minorHAnsi" w:hAnsiTheme="minorHAnsi"/>
          <w:sz w:val="22"/>
          <w:szCs w:val="22"/>
          <w:lang w:val="sr-Cyrl-CS"/>
        </w:rPr>
        <w:t>Електро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Јована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CS"/>
        </w:rPr>
        <w:t>д</w:t>
      </w:r>
      <w:r w:rsidRPr="009C5187">
        <w:rPr>
          <w:rFonts w:asciiTheme="minorHAnsi" w:hAnsiTheme="minorHAnsi"/>
          <w:sz w:val="22"/>
          <w:szCs w:val="22"/>
          <w:lang w:val="sr-Cyrl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9C5187">
        <w:rPr>
          <w:rFonts w:asciiTheme="minorHAnsi" w:hAnsiTheme="minorHAnsi"/>
          <w:sz w:val="22"/>
          <w:szCs w:val="22"/>
          <w:lang w:val="sr-Cyrl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="00DD65E6">
        <w:rPr>
          <w:rFonts w:asciiTheme="minorHAnsi" w:hAnsiTheme="minorHAnsi"/>
          <w:sz w:val="22"/>
          <w:szCs w:val="22"/>
          <w:lang w:val="sr-Cyrl-CS"/>
        </w:rPr>
        <w:t>Милићи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(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Јована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CS"/>
        </w:rPr>
        <w:t>на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Зеленом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Јадру</w:t>
      </w:r>
      <w:r w:rsidRPr="009C5187">
        <w:rPr>
          <w:rFonts w:asciiTheme="minorHAnsi" w:hAnsiTheme="minorHAnsi"/>
          <w:sz w:val="22"/>
          <w:szCs w:val="22"/>
          <w:lang w:val="sr-Cyrl-CS"/>
        </w:rPr>
        <w:t>);</w:t>
      </w:r>
    </w:p>
    <w:p w:rsidR="006B4867" w:rsidRPr="003B4FD0" w:rsidRDefault="001F089A" w:rsidP="00B21446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 w:rsidRPr="003B4FD0">
        <w:rPr>
          <w:rFonts w:asciiTheme="minorHAnsi" w:hAnsiTheme="minorHAnsi"/>
          <w:sz w:val="22"/>
          <w:szCs w:val="22"/>
          <w:lang w:val="sr-Cyrl-CS"/>
        </w:rPr>
        <w:t>„</w:t>
      </w:r>
      <w:r w:rsidR="00DD65E6">
        <w:rPr>
          <w:rFonts w:asciiTheme="minorHAnsi" w:hAnsiTheme="minorHAnsi"/>
          <w:sz w:val="22"/>
          <w:szCs w:val="22"/>
          <w:lang w:val="sr-Cyrl-CS"/>
        </w:rPr>
        <w:t>Електрос</w:t>
      </w:r>
      <w:r w:rsidRPr="003B4FD0">
        <w:rPr>
          <w:rFonts w:asciiTheme="minorHAnsi" w:hAnsiTheme="minorHAns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CS"/>
        </w:rPr>
        <w:t>д</w:t>
      </w:r>
      <w:r w:rsidRPr="003B4FD0">
        <w:rPr>
          <w:rFonts w:asciiTheme="minorHAnsi" w:hAnsiTheme="minorHAnsi"/>
          <w:sz w:val="22"/>
          <w:szCs w:val="22"/>
          <w:lang w:val="sr-Cyrl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3B4FD0">
        <w:rPr>
          <w:rFonts w:asciiTheme="minorHAnsi" w:hAnsiTheme="minorHAnsi"/>
          <w:sz w:val="22"/>
          <w:szCs w:val="22"/>
          <w:lang w:val="sr-Cyrl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3B4FD0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="00DD65E6">
        <w:rPr>
          <w:rFonts w:asciiTheme="minorHAnsi" w:hAnsiTheme="minorHAnsi"/>
          <w:sz w:val="22"/>
          <w:szCs w:val="22"/>
          <w:lang w:val="sr-Cyrl-CS"/>
        </w:rPr>
        <w:t>Бања</w:t>
      </w:r>
      <w:r w:rsidRPr="003B4FD0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Лука</w:t>
      </w:r>
      <w:r w:rsidRPr="003B4FD0">
        <w:rPr>
          <w:rFonts w:asciiTheme="minorHAnsi" w:hAnsiTheme="minorHAnsi"/>
          <w:sz w:val="22"/>
          <w:szCs w:val="22"/>
          <w:lang w:val="sr-Cyrl-CS"/>
        </w:rPr>
        <w:t xml:space="preserve"> (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3B4FD0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Б</w:t>
      </w:r>
      <w:r w:rsidRPr="003B4FD0">
        <w:rPr>
          <w:rFonts w:asciiTheme="minorHAnsi" w:hAnsiTheme="minorHAnsi"/>
          <w:sz w:val="22"/>
          <w:szCs w:val="22"/>
          <w:lang w:val="sr-Cyrl-CS"/>
        </w:rPr>
        <w:t>-</w:t>
      </w:r>
      <w:r w:rsidR="00DD65E6">
        <w:rPr>
          <w:rFonts w:asciiTheme="minorHAnsi" w:hAnsiTheme="minorHAnsi"/>
          <w:sz w:val="22"/>
          <w:szCs w:val="22"/>
          <w:lang w:val="sr-Cyrl-CS"/>
        </w:rPr>
        <w:t>Г</w:t>
      </w:r>
      <w:r w:rsidR="00A66049" w:rsidRPr="003B4FD0">
        <w:rPr>
          <w:rFonts w:asciiTheme="minorHAnsi" w:hAnsiTheme="minorHAnsi"/>
          <w:sz w:val="22"/>
          <w:szCs w:val="22"/>
          <w:lang w:val="sr-Cyrl-CS"/>
        </w:rPr>
        <w:t>-1“);</w:t>
      </w:r>
    </w:p>
    <w:p w:rsidR="00A66049" w:rsidRPr="003B4FD0" w:rsidRDefault="00A66049" w:rsidP="00B21446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 w:rsidRPr="003B4FD0">
        <w:rPr>
          <w:rFonts w:asciiTheme="minorHAnsi" w:hAnsiTheme="minorHAnsi"/>
          <w:sz w:val="22"/>
          <w:szCs w:val="22"/>
          <w:lang w:val="sr-Cyrl-CS"/>
        </w:rPr>
        <w:t>„</w:t>
      </w:r>
      <w:r w:rsidR="00DD65E6">
        <w:rPr>
          <w:rFonts w:asciiTheme="minorHAnsi" w:hAnsiTheme="minorHAnsi"/>
          <w:sz w:val="22"/>
          <w:szCs w:val="22"/>
          <w:lang w:val="sr-Cyrl-CS"/>
        </w:rPr>
        <w:t>Страјко</w:t>
      </w:r>
      <w:r w:rsidRPr="003B4FD0">
        <w:rPr>
          <w:rFonts w:asciiTheme="minorHAnsi" w:hAnsiTheme="minorHAns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CS"/>
        </w:rPr>
        <w:t>д</w:t>
      </w:r>
      <w:r w:rsidRPr="003B4FD0">
        <w:rPr>
          <w:rFonts w:asciiTheme="minorHAnsi" w:hAnsiTheme="minorHAnsi"/>
          <w:sz w:val="22"/>
          <w:szCs w:val="22"/>
          <w:lang w:val="sr-Cyrl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3B4FD0">
        <w:rPr>
          <w:rFonts w:asciiTheme="minorHAnsi" w:hAnsiTheme="minorHAnsi"/>
          <w:sz w:val="22"/>
          <w:szCs w:val="22"/>
          <w:lang w:val="sr-Cyrl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3B4FD0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="00DD65E6">
        <w:rPr>
          <w:rFonts w:asciiTheme="minorHAnsi" w:hAnsiTheme="minorHAnsi"/>
          <w:sz w:val="22"/>
          <w:szCs w:val="22"/>
          <w:lang w:val="sr-Cyrl-CS"/>
        </w:rPr>
        <w:t>Требиње</w:t>
      </w:r>
      <w:r w:rsidRPr="003B4FD0">
        <w:rPr>
          <w:rFonts w:asciiTheme="minorHAnsi" w:hAnsiTheme="minorHAnsi"/>
          <w:sz w:val="22"/>
          <w:szCs w:val="22"/>
          <w:lang w:val="sr-Cyrl-CS"/>
        </w:rPr>
        <w:t xml:space="preserve"> (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3B4FD0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До</w:t>
      </w:r>
      <w:r w:rsidRPr="003B4FD0">
        <w:rPr>
          <w:rFonts w:asciiTheme="minorHAnsi" w:hAnsiTheme="minorHAns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CS"/>
        </w:rPr>
        <w:t>на</w:t>
      </w:r>
      <w:r w:rsidRPr="003B4FD0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ријеци</w:t>
      </w:r>
      <w:r w:rsidRPr="003B4FD0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Брегави</w:t>
      </w:r>
      <w:r w:rsidRPr="003B4FD0">
        <w:rPr>
          <w:rFonts w:asciiTheme="minorHAnsi" w:hAnsiTheme="minorHAnsi"/>
          <w:sz w:val="22"/>
          <w:szCs w:val="22"/>
          <w:lang w:val="sr-Cyrl-CS"/>
        </w:rPr>
        <w:t>).</w:t>
      </w:r>
    </w:p>
    <w:p w:rsidR="00A66049" w:rsidRPr="003B4FD0" w:rsidRDefault="00A66049" w:rsidP="00A66049">
      <w:p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A66049" w:rsidRPr="003B4FD0" w:rsidRDefault="00DD65E6" w:rsidP="00A66049">
      <w:p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Почела</w:t>
      </w:r>
      <w:r w:rsidR="00A66049" w:rsidRPr="003B4FD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A66049" w:rsidRPr="003B4FD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изградља</w:t>
      </w:r>
      <w:r w:rsidR="00A66049" w:rsidRPr="003B4FD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слиједећих</w:t>
      </w:r>
      <w:r w:rsidR="00A66049" w:rsidRPr="003B4FD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МХЕ</w:t>
      </w:r>
      <w:r w:rsidR="00A66049" w:rsidRPr="003B4FD0">
        <w:rPr>
          <w:rFonts w:asciiTheme="minorHAnsi" w:hAnsiTheme="minorHAnsi"/>
          <w:sz w:val="22"/>
          <w:szCs w:val="22"/>
          <w:lang w:val="sr-Cyrl-CS"/>
        </w:rPr>
        <w:t>:</w:t>
      </w:r>
    </w:p>
    <w:p w:rsidR="006B4867" w:rsidRPr="009C5187" w:rsidRDefault="006B4867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 w:rsidRPr="009C5187">
        <w:rPr>
          <w:rFonts w:asciiTheme="minorHAnsi" w:hAnsiTheme="minorHAnsi"/>
          <w:sz w:val="22"/>
          <w:szCs w:val="22"/>
          <w:lang w:val="sr-Cyrl-CS"/>
        </w:rPr>
        <w:t>„</w:t>
      </w:r>
      <w:r w:rsidR="00DD65E6">
        <w:rPr>
          <w:rFonts w:asciiTheme="minorHAnsi" w:hAnsiTheme="minorHAnsi"/>
          <w:sz w:val="22"/>
          <w:szCs w:val="22"/>
          <w:lang w:val="sr-Cyrl-CS"/>
        </w:rPr>
        <w:t>Хидроелектране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Бистрица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CS"/>
        </w:rPr>
        <w:t>д</w:t>
      </w:r>
      <w:r w:rsidRPr="009C5187">
        <w:rPr>
          <w:rFonts w:asciiTheme="minorHAnsi" w:hAnsiTheme="minorHAnsi"/>
          <w:sz w:val="22"/>
          <w:szCs w:val="22"/>
          <w:lang w:val="sr-Cyrl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9C5187">
        <w:rPr>
          <w:rFonts w:asciiTheme="minorHAnsi" w:hAnsiTheme="minorHAnsi"/>
          <w:sz w:val="22"/>
          <w:szCs w:val="22"/>
          <w:lang w:val="sr-Cyrl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="00DD65E6">
        <w:rPr>
          <w:rFonts w:asciiTheme="minorHAnsi" w:hAnsiTheme="minorHAnsi"/>
          <w:sz w:val="22"/>
          <w:szCs w:val="22"/>
          <w:lang w:val="sr-Cyrl-CS"/>
        </w:rPr>
        <w:t>Фоча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(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Бистрица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Б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-1“, 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Бистрица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Б</w:t>
      </w:r>
      <w:r w:rsidRPr="009C5187">
        <w:rPr>
          <w:rFonts w:asciiTheme="minorHAnsi" w:hAnsiTheme="minorHAnsi"/>
          <w:sz w:val="22"/>
          <w:szCs w:val="22"/>
          <w:lang w:val="sr-Cyrl-CS"/>
        </w:rPr>
        <w:t>-2</w:t>
      </w:r>
      <w:r w:rsidR="00DD65E6">
        <w:rPr>
          <w:rFonts w:asciiTheme="minorHAnsi" w:hAnsiTheme="minorHAnsi"/>
          <w:sz w:val="22"/>
          <w:szCs w:val="22"/>
          <w:lang w:val="sr-Cyrl-CS"/>
        </w:rPr>
        <w:t>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CS"/>
        </w:rPr>
        <w:t>и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Бистрица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Б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-3“); </w:t>
      </w:r>
    </w:p>
    <w:p w:rsidR="006B4867" w:rsidRPr="009C5187" w:rsidRDefault="006B4867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 w:rsidRPr="009C5187">
        <w:rPr>
          <w:rFonts w:asciiTheme="minorHAnsi" w:hAnsiTheme="minorHAnsi"/>
          <w:sz w:val="22"/>
          <w:szCs w:val="22"/>
          <w:lang w:val="sr-Latn-CS"/>
        </w:rPr>
        <w:t>„</w:t>
      </w:r>
      <w:r w:rsidR="00DD65E6">
        <w:rPr>
          <w:rFonts w:asciiTheme="minorHAnsi" w:hAnsiTheme="minorHAnsi"/>
          <w:sz w:val="22"/>
          <w:szCs w:val="22"/>
          <w:lang w:val="sr-Latn-CS"/>
        </w:rPr>
        <w:t>Х</w:t>
      </w:r>
      <w:r w:rsidRPr="009C5187">
        <w:rPr>
          <w:rFonts w:asciiTheme="minorHAnsi" w:hAnsiTheme="minorHAnsi"/>
          <w:sz w:val="22"/>
          <w:szCs w:val="22"/>
          <w:lang w:val="sr-Latn-CS"/>
        </w:rPr>
        <w:t>y</w:t>
      </w:r>
      <w:r w:rsidR="00DD65E6">
        <w:rPr>
          <w:rFonts w:asciiTheme="minorHAnsi" w:hAnsiTheme="minorHAnsi"/>
          <w:sz w:val="22"/>
          <w:szCs w:val="22"/>
          <w:lang w:val="sr-Latn-CS"/>
        </w:rPr>
        <w:t>дроенерг</w:t>
      </w:r>
      <w:r w:rsidRPr="009C5187">
        <w:rPr>
          <w:rFonts w:asciiTheme="minorHAnsi" w:hAnsiTheme="minorHAnsi"/>
          <w:sz w:val="22"/>
          <w:szCs w:val="22"/>
          <w:lang w:val="sr-Latn-CS"/>
        </w:rPr>
        <w:t xml:space="preserve">y“ </w:t>
      </w:r>
      <w:r w:rsidR="00DD65E6">
        <w:rPr>
          <w:rFonts w:asciiTheme="minorHAnsi" w:hAnsiTheme="minorHAnsi"/>
          <w:sz w:val="22"/>
          <w:szCs w:val="22"/>
          <w:lang w:val="sr-Cyrl-BA"/>
        </w:rPr>
        <w:t>д</w:t>
      </w:r>
      <w:r w:rsidRPr="009C5187">
        <w:rPr>
          <w:rFonts w:asciiTheme="minorHAnsi" w:hAnsiTheme="minorHAnsi"/>
          <w:sz w:val="22"/>
          <w:szCs w:val="22"/>
          <w:lang w:val="sr-Latn-BA"/>
        </w:rPr>
        <w:t>.</w:t>
      </w:r>
      <w:r w:rsidR="00DD65E6">
        <w:rPr>
          <w:rFonts w:asciiTheme="minorHAnsi" w:hAnsiTheme="minorHAnsi"/>
          <w:sz w:val="22"/>
          <w:szCs w:val="22"/>
          <w:lang w:val="sr-Latn-BA"/>
        </w:rPr>
        <w:t>о</w:t>
      </w:r>
      <w:r w:rsidRPr="009C5187">
        <w:rPr>
          <w:rFonts w:asciiTheme="minorHAnsi" w:hAnsiTheme="minorHAnsi"/>
          <w:sz w:val="22"/>
          <w:szCs w:val="22"/>
          <w:lang w:val="sr-Latn-BA"/>
        </w:rPr>
        <w:t>.</w:t>
      </w:r>
      <w:r w:rsidR="00DD65E6">
        <w:rPr>
          <w:rFonts w:asciiTheme="minorHAnsi" w:hAnsiTheme="minorHAnsi"/>
          <w:sz w:val="22"/>
          <w:szCs w:val="22"/>
          <w:lang w:val="sr-Latn-BA"/>
        </w:rPr>
        <w:t>о</w:t>
      </w:r>
      <w:r w:rsidRPr="009C5187">
        <w:rPr>
          <w:rFonts w:asciiTheme="minorHAnsi" w:hAnsiTheme="minorHAnsi"/>
          <w:sz w:val="22"/>
          <w:szCs w:val="22"/>
          <w:lang w:val="sr-Latn-BA"/>
        </w:rPr>
        <w:t xml:space="preserve">. </w:t>
      </w:r>
      <w:r w:rsidR="00DD65E6">
        <w:rPr>
          <w:rFonts w:asciiTheme="minorHAnsi" w:hAnsiTheme="minorHAnsi"/>
          <w:sz w:val="22"/>
          <w:szCs w:val="22"/>
          <w:lang w:val="sr-Cyrl-BA"/>
        </w:rPr>
        <w:t>Гацко</w:t>
      </w:r>
      <w:r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9C5187">
        <w:rPr>
          <w:rFonts w:asciiTheme="minorHAnsi" w:hAnsiTheme="minorHAnsi"/>
          <w:sz w:val="22"/>
          <w:szCs w:val="22"/>
          <w:lang w:val="sr-Cyrl-CS"/>
        </w:rPr>
        <w:t>(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Јабушница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С</w:t>
      </w:r>
      <w:r w:rsidRPr="009C5187">
        <w:rPr>
          <w:rFonts w:asciiTheme="minorHAnsi" w:hAnsiTheme="minorHAnsi"/>
          <w:sz w:val="22"/>
          <w:szCs w:val="22"/>
          <w:lang w:val="sr-Cyrl-CS"/>
        </w:rPr>
        <w:t>-</w:t>
      </w:r>
      <w:r w:rsidR="00DD65E6">
        <w:rPr>
          <w:rFonts w:asciiTheme="minorHAnsi" w:hAnsiTheme="minorHAnsi"/>
          <w:sz w:val="22"/>
          <w:szCs w:val="22"/>
          <w:lang w:val="sr-Cyrl-CS"/>
        </w:rPr>
        <w:t>Ј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-2“, 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C5187">
        <w:rPr>
          <w:rFonts w:asciiTheme="minorHAnsi" w:hAnsiTheme="minorHAnsi"/>
          <w:sz w:val="22"/>
          <w:szCs w:val="22"/>
          <w:lang w:val="sr-Latn-CS"/>
        </w:rPr>
        <w:t>„</w:t>
      </w:r>
      <w:r w:rsidR="00DD65E6">
        <w:rPr>
          <w:rFonts w:asciiTheme="minorHAnsi" w:hAnsiTheme="minorHAnsi"/>
          <w:sz w:val="22"/>
          <w:szCs w:val="22"/>
          <w:lang w:val="sr-Cyrl-CS"/>
        </w:rPr>
        <w:t>Јабушница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С</w:t>
      </w:r>
      <w:r w:rsidRPr="009C5187">
        <w:rPr>
          <w:rFonts w:asciiTheme="minorHAnsi" w:hAnsiTheme="minorHAnsi"/>
          <w:sz w:val="22"/>
          <w:szCs w:val="22"/>
          <w:lang w:val="sr-Cyrl-CS"/>
        </w:rPr>
        <w:t>-</w:t>
      </w:r>
      <w:r w:rsidR="00DD65E6">
        <w:rPr>
          <w:rFonts w:asciiTheme="minorHAnsi" w:hAnsiTheme="minorHAnsi"/>
          <w:sz w:val="22"/>
          <w:szCs w:val="22"/>
          <w:lang w:val="sr-Cyrl-CS"/>
        </w:rPr>
        <w:t>Ј</w:t>
      </w:r>
      <w:r w:rsidRPr="009C5187">
        <w:rPr>
          <w:rFonts w:asciiTheme="minorHAnsi" w:hAnsiTheme="minorHAnsi"/>
          <w:sz w:val="22"/>
          <w:szCs w:val="22"/>
          <w:lang w:val="sr-Cyrl-CS"/>
        </w:rPr>
        <w:t>-3</w:t>
      </w:r>
      <w:r w:rsidRPr="009C5187">
        <w:rPr>
          <w:rFonts w:asciiTheme="minorHAnsi" w:hAnsiTheme="minorHAnsi"/>
          <w:sz w:val="22"/>
          <w:szCs w:val="22"/>
          <w:lang w:val="sr-Latn-CS"/>
        </w:rPr>
        <w:t>“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на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ријеци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Јабушници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); </w:t>
      </w:r>
    </w:p>
    <w:p w:rsidR="006B4867" w:rsidRPr="009C5187" w:rsidRDefault="006B4867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 w:rsidRPr="009C5187">
        <w:rPr>
          <w:rFonts w:asciiTheme="minorHAnsi" w:hAnsiTheme="minorHAnsi"/>
          <w:sz w:val="22"/>
          <w:szCs w:val="22"/>
          <w:lang w:val="sr-Latn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Latn-CS"/>
        </w:rPr>
        <w:t>Елинг</w:t>
      </w:r>
      <w:r w:rsidRPr="009C5187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Latn-CS"/>
        </w:rPr>
        <w:t>Инжињеринг</w:t>
      </w:r>
      <w:r w:rsidRPr="009C5187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Latn-CS"/>
        </w:rPr>
        <w:t>МХЕ</w:t>
      </w:r>
      <w:r w:rsidRPr="009C5187">
        <w:rPr>
          <w:rFonts w:asciiTheme="minorHAnsi" w:hAnsiTheme="minorHAnsi"/>
          <w:sz w:val="22"/>
          <w:szCs w:val="22"/>
          <w:lang w:val="sr-Latn-CS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BA"/>
        </w:rPr>
        <w:t>д</w:t>
      </w:r>
      <w:r w:rsidRPr="009C5187">
        <w:rPr>
          <w:rFonts w:asciiTheme="minorHAnsi" w:hAnsiTheme="minorHAnsi"/>
          <w:sz w:val="22"/>
          <w:szCs w:val="22"/>
          <w:lang w:val="sr-Latn-CS"/>
        </w:rPr>
        <w:t>.</w:t>
      </w:r>
      <w:r w:rsidR="00DD65E6">
        <w:rPr>
          <w:rFonts w:asciiTheme="minorHAnsi" w:hAnsiTheme="minorHAnsi"/>
          <w:sz w:val="22"/>
          <w:szCs w:val="22"/>
          <w:lang w:val="sr-Latn-CS"/>
        </w:rPr>
        <w:t>о</w:t>
      </w:r>
      <w:r w:rsidRPr="009C5187">
        <w:rPr>
          <w:rFonts w:asciiTheme="minorHAnsi" w:hAnsiTheme="minorHAnsi"/>
          <w:sz w:val="22"/>
          <w:szCs w:val="22"/>
          <w:lang w:val="sr-Latn-CS"/>
        </w:rPr>
        <w:t>.</w:t>
      </w:r>
      <w:r w:rsidR="00DD65E6">
        <w:rPr>
          <w:rFonts w:asciiTheme="minorHAnsi" w:hAnsiTheme="minorHAnsi"/>
          <w:sz w:val="22"/>
          <w:szCs w:val="22"/>
          <w:lang w:val="sr-Latn-CS"/>
        </w:rPr>
        <w:t>о</w:t>
      </w:r>
      <w:r w:rsidRPr="009C5187">
        <w:rPr>
          <w:rFonts w:asciiTheme="minorHAnsi" w:hAnsiTheme="minorHAnsi"/>
          <w:sz w:val="22"/>
          <w:szCs w:val="22"/>
          <w:lang w:val="sr-Latn-CS"/>
        </w:rPr>
        <w:t xml:space="preserve">. </w:t>
      </w:r>
      <w:r w:rsidR="00DD65E6">
        <w:rPr>
          <w:rFonts w:asciiTheme="minorHAnsi" w:hAnsiTheme="minorHAnsi"/>
          <w:sz w:val="22"/>
          <w:szCs w:val="22"/>
          <w:lang w:val="sr-Cyrl-BA"/>
        </w:rPr>
        <w:t>Теслић</w:t>
      </w:r>
      <w:r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9C5187">
        <w:rPr>
          <w:rFonts w:asciiTheme="minorHAnsi" w:hAnsiTheme="minorHAnsi"/>
          <w:sz w:val="22"/>
          <w:szCs w:val="22"/>
          <w:lang w:val="sr-Cyrl-CS"/>
        </w:rPr>
        <w:t>(</w:t>
      </w:r>
      <w:r w:rsidR="00DD65E6">
        <w:rPr>
          <w:rFonts w:asciiTheme="minorHAnsi" w:hAnsiTheme="minorHAnsi"/>
          <w:sz w:val="22"/>
          <w:szCs w:val="22"/>
          <w:lang w:val="sr-Latn-CS"/>
        </w:rPr>
        <w:t>М</w:t>
      </w:r>
      <w:r w:rsidR="00DD65E6">
        <w:rPr>
          <w:rFonts w:asciiTheme="minorHAnsi" w:hAnsiTheme="minorHAnsi"/>
          <w:sz w:val="22"/>
          <w:szCs w:val="22"/>
          <w:lang w:val="sr-Cyrl-CS"/>
        </w:rPr>
        <w:t>ХЕ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Говза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Б</w:t>
      </w:r>
      <w:r w:rsidRPr="009C5187">
        <w:rPr>
          <w:rFonts w:asciiTheme="minorHAnsi" w:hAnsiTheme="minorHAnsi"/>
          <w:sz w:val="22"/>
          <w:szCs w:val="22"/>
          <w:lang w:val="sr-Cyrl-CS"/>
        </w:rPr>
        <w:t>-</w:t>
      </w:r>
      <w:r w:rsidR="00DD65E6">
        <w:rPr>
          <w:rFonts w:asciiTheme="minorHAnsi" w:hAnsiTheme="minorHAnsi"/>
          <w:sz w:val="22"/>
          <w:szCs w:val="22"/>
          <w:lang w:val="sr-Cyrl-CS"/>
        </w:rPr>
        <w:t>Г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-2 + </w:t>
      </w:r>
      <w:r w:rsidR="00DD65E6">
        <w:rPr>
          <w:rFonts w:asciiTheme="minorHAnsi" w:hAnsiTheme="minorHAnsi"/>
          <w:sz w:val="22"/>
          <w:szCs w:val="22"/>
          <w:lang w:val="sr-Cyrl-CS"/>
        </w:rPr>
        <w:t>Говза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Б</w:t>
      </w:r>
      <w:r w:rsidRPr="009C5187">
        <w:rPr>
          <w:rFonts w:asciiTheme="minorHAnsi" w:hAnsiTheme="minorHAnsi"/>
          <w:sz w:val="22"/>
          <w:szCs w:val="22"/>
          <w:lang w:val="sr-Cyrl-CS"/>
        </w:rPr>
        <w:t>-</w:t>
      </w:r>
      <w:r w:rsidR="00DD65E6">
        <w:rPr>
          <w:rFonts w:asciiTheme="minorHAnsi" w:hAnsiTheme="minorHAnsi"/>
          <w:sz w:val="22"/>
          <w:szCs w:val="22"/>
          <w:lang w:val="sr-Cyrl-CS"/>
        </w:rPr>
        <w:t>Г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-3 </w:t>
      </w:r>
      <w:r w:rsidR="00DD65E6">
        <w:rPr>
          <w:rFonts w:asciiTheme="minorHAnsi" w:hAnsiTheme="minorHAnsi"/>
          <w:sz w:val="22"/>
          <w:szCs w:val="22"/>
          <w:lang w:val="sr-Cyrl-CS"/>
        </w:rPr>
        <w:t>на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ријеци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Говзи</w:t>
      </w:r>
      <w:r w:rsidR="00A66049">
        <w:rPr>
          <w:rFonts w:asciiTheme="minorHAnsi" w:hAnsiTheme="minorHAnsi"/>
          <w:sz w:val="22"/>
          <w:szCs w:val="22"/>
          <w:lang w:val="sr-Cyrl-CS"/>
        </w:rPr>
        <w:t xml:space="preserve">- </w:t>
      </w:r>
      <w:r w:rsidR="00DD65E6">
        <w:rPr>
          <w:rFonts w:asciiTheme="minorHAnsi" w:hAnsiTheme="minorHAnsi"/>
          <w:sz w:val="22"/>
          <w:szCs w:val="22"/>
          <w:lang w:val="sr-Cyrl-CS"/>
        </w:rPr>
        <w:t>спојене</w:t>
      </w:r>
      <w:r w:rsidR="00A6604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у</w:t>
      </w:r>
      <w:r w:rsidR="00A66049">
        <w:rPr>
          <w:rFonts w:asciiTheme="minorHAnsi" w:hAnsiTheme="minorHAnsi"/>
          <w:sz w:val="22"/>
          <w:szCs w:val="22"/>
          <w:lang w:val="sr-Cyrl-CS"/>
        </w:rPr>
        <w:t xml:space="preserve"> 1  (</w:t>
      </w:r>
      <w:r w:rsidR="00DD65E6">
        <w:rPr>
          <w:rFonts w:asciiTheme="minorHAnsi" w:hAnsiTheme="minorHAnsi"/>
          <w:sz w:val="22"/>
          <w:szCs w:val="22"/>
          <w:lang w:val="sr-Cyrl-CS"/>
        </w:rPr>
        <w:t>једну</w:t>
      </w:r>
      <w:r w:rsidR="00A66049">
        <w:rPr>
          <w:rFonts w:asciiTheme="minorHAnsi" w:hAnsiTheme="minorHAnsi"/>
          <w:sz w:val="22"/>
          <w:szCs w:val="22"/>
          <w:lang w:val="sr-Cyrl-CS"/>
        </w:rPr>
        <w:t xml:space="preserve">) 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="00A66049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Јелеч</w:t>
      </w:r>
      <w:r w:rsidR="00A66049">
        <w:rPr>
          <w:rFonts w:asciiTheme="minorHAnsi" w:hAnsiTheme="minorHAnsi"/>
          <w:sz w:val="22"/>
          <w:szCs w:val="22"/>
          <w:lang w:val="sr-Cyrl-CS"/>
        </w:rPr>
        <w:t>“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Студена</w:t>
      </w:r>
      <w:r w:rsidRPr="009C5187">
        <w:rPr>
          <w:rFonts w:asciiTheme="minorHAnsi" w:hAnsiTheme="minorHAnsi"/>
          <w:sz w:val="22"/>
          <w:szCs w:val="22"/>
          <w:lang w:val="sr-Cyrl-CS"/>
        </w:rPr>
        <w:t xml:space="preserve">“); 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ХЕ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/>
          <w:sz w:val="22"/>
          <w:szCs w:val="22"/>
          <w:lang w:val="sr-Cyrl-CS"/>
        </w:rPr>
        <w:t>Дабар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“ </w:t>
      </w:r>
      <w:r>
        <w:rPr>
          <w:rFonts w:asciiTheme="minorHAnsi" w:hAnsiTheme="minorHAnsi"/>
          <w:sz w:val="22"/>
          <w:szCs w:val="22"/>
          <w:lang w:val="sr-Cyrl-CS"/>
        </w:rPr>
        <w:t>д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.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.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Требиње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; </w:t>
      </w:r>
    </w:p>
    <w:p w:rsidR="006B4867" w:rsidRPr="009C5187" w:rsidRDefault="00DD65E6" w:rsidP="00B2144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ХЕ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„</w:t>
      </w:r>
      <w:r>
        <w:rPr>
          <w:rFonts w:asciiTheme="minorHAnsi" w:hAnsiTheme="minorHAnsi"/>
          <w:sz w:val="22"/>
          <w:szCs w:val="22"/>
          <w:lang w:val="sr-Cyrl-CS"/>
        </w:rPr>
        <w:t>Улог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“ </w:t>
      </w:r>
      <w:r>
        <w:rPr>
          <w:rFonts w:asciiTheme="minorHAnsi" w:hAnsiTheme="minorHAnsi"/>
          <w:sz w:val="22"/>
          <w:szCs w:val="22"/>
          <w:lang w:val="sr-Cyrl-CS"/>
        </w:rPr>
        <w:t>д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.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.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Калиновик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>.</w:t>
      </w:r>
    </w:p>
    <w:p w:rsidR="006B4867" w:rsidRPr="009C5187" w:rsidRDefault="006B4867" w:rsidP="006B4867">
      <w:pPr>
        <w:pStyle w:val="ListParagraph"/>
        <w:shd w:val="clear" w:color="auto" w:fill="FFFFFF"/>
        <w:ind w:left="540"/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E82726" w:rsidRDefault="00DD65E6" w:rsidP="00771EA2">
      <w:pPr>
        <w:shd w:val="clear" w:color="auto" w:fill="FFFFFF"/>
        <w:spacing w:after="120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bookmarkStart w:id="36" w:name="_Toc449404323"/>
      <w:bookmarkStart w:id="37" w:name="_Toc418075619"/>
      <w:r>
        <w:rPr>
          <w:rFonts w:asciiTheme="minorHAnsi" w:hAnsiTheme="minorHAnsi"/>
          <w:sz w:val="22"/>
          <w:szCs w:val="22"/>
          <w:lang w:val="sr-Cyrl-CS"/>
        </w:rPr>
        <w:t>Један</w:t>
      </w:r>
      <w:r w:rsidR="00771EA2" w:rsidRPr="003B4FD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број</w:t>
      </w:r>
      <w:r w:rsidR="00771EA2" w:rsidRPr="003B4FD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Концесионара</w:t>
      </w:r>
      <w:r w:rsidR="00771EA2" w:rsidRPr="003B4FD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771EA2" w:rsidRPr="003B4FD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дошао</w:t>
      </w:r>
      <w:r w:rsidR="00771EA2" w:rsidRPr="003B4FD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</w:t>
      </w:r>
      <w:r w:rsidR="00771EA2" w:rsidRPr="003B4FD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дозволе</w:t>
      </w:r>
      <w:r w:rsidR="00771EA2" w:rsidRPr="003B4FD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771EA2" w:rsidRPr="003B4FD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грађење</w:t>
      </w:r>
      <w:r w:rsidR="00771EA2" w:rsidRPr="003B4FD0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или</w:t>
      </w:r>
      <w:r w:rsidR="00771EA2" w:rsidRPr="003B4FD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отпочео</w:t>
      </w:r>
      <w:r w:rsid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припремним</w:t>
      </w:r>
      <w:r w:rsid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радовима</w:t>
      </w:r>
      <w:r w:rsidR="00E82726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како</w:t>
      </w:r>
      <w:r w:rsid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слиједи</w:t>
      </w:r>
      <w:r w:rsidR="00771EA2" w:rsidRPr="003B4FD0">
        <w:rPr>
          <w:rFonts w:asciiTheme="minorHAnsi" w:hAnsiTheme="minorHAnsi"/>
          <w:sz w:val="22"/>
          <w:szCs w:val="22"/>
          <w:lang w:val="sr-Cyrl-CS"/>
        </w:rPr>
        <w:t>:</w:t>
      </w:r>
      <w:r w:rsidR="00771EA2" w:rsidRPr="003B4FD0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</w:p>
    <w:p w:rsidR="00E82726" w:rsidRPr="00E82726" w:rsidRDefault="00771EA2" w:rsidP="00E82726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  <w:lang w:val="sr-Cyrl-CS"/>
        </w:rPr>
      </w:pPr>
      <w:r w:rsidRPr="00E82726">
        <w:rPr>
          <w:rFonts w:asciiTheme="minorHAnsi" w:hAnsiTheme="minorHAnsi"/>
          <w:sz w:val="22"/>
          <w:szCs w:val="22"/>
          <w:lang w:val="sr-Cyrl-CS"/>
        </w:rPr>
        <w:t>„</w:t>
      </w:r>
      <w:r w:rsidR="00DD65E6">
        <w:rPr>
          <w:rFonts w:asciiTheme="minorHAnsi" w:hAnsiTheme="minorHAnsi"/>
          <w:sz w:val="22"/>
          <w:szCs w:val="22"/>
          <w:lang w:val="sr-Cyrl-CS"/>
        </w:rPr>
        <w:t>Хидроел</w:t>
      </w:r>
      <w:r w:rsidR="00DD65E6">
        <w:rPr>
          <w:rFonts w:asciiTheme="minorHAnsi" w:hAnsiTheme="minorHAnsi"/>
          <w:sz w:val="22"/>
          <w:szCs w:val="22"/>
          <w:lang w:val="sr-Latn-BA"/>
        </w:rPr>
        <w:t>е</w:t>
      </w:r>
      <w:r w:rsidR="00DD65E6">
        <w:rPr>
          <w:rFonts w:asciiTheme="minorHAnsi" w:hAnsiTheme="minorHAnsi"/>
          <w:sz w:val="22"/>
          <w:szCs w:val="22"/>
          <w:lang w:val="sr-Cyrl-CS"/>
        </w:rPr>
        <w:t>ктране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Бистрица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CS"/>
        </w:rPr>
        <w:t>д</w:t>
      </w:r>
      <w:r w:rsidRPr="00E82726">
        <w:rPr>
          <w:rFonts w:asciiTheme="minorHAnsi" w:hAnsiTheme="minorHAnsi"/>
          <w:sz w:val="22"/>
          <w:szCs w:val="22"/>
          <w:lang w:val="sr-Cyrl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E82726">
        <w:rPr>
          <w:rFonts w:asciiTheme="minorHAnsi" w:hAnsiTheme="minorHAnsi"/>
          <w:sz w:val="22"/>
          <w:szCs w:val="22"/>
          <w:lang w:val="sr-Cyrl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="00DD65E6">
        <w:rPr>
          <w:rFonts w:asciiTheme="minorHAnsi" w:hAnsiTheme="minorHAnsi"/>
          <w:sz w:val="22"/>
          <w:szCs w:val="22"/>
          <w:lang w:val="sr-Cyrl-CS"/>
        </w:rPr>
        <w:t>Фоча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(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Јањина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Ј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-1“); </w:t>
      </w:r>
    </w:p>
    <w:p w:rsidR="00E82726" w:rsidRPr="00E82726" w:rsidRDefault="00771EA2" w:rsidP="00E82726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  <w:lang w:val="sr-Cyrl-CS"/>
        </w:rPr>
      </w:pPr>
      <w:r w:rsidRPr="00E82726">
        <w:rPr>
          <w:rFonts w:asciiTheme="minorHAnsi" w:hAnsiTheme="minorHAnsi"/>
          <w:sz w:val="22"/>
          <w:szCs w:val="22"/>
          <w:lang w:val="sr-Latn-CS"/>
        </w:rPr>
        <w:t>„</w:t>
      </w:r>
      <w:r w:rsidR="00DD65E6">
        <w:rPr>
          <w:rFonts w:asciiTheme="minorHAnsi" w:hAnsiTheme="minorHAnsi"/>
          <w:sz w:val="22"/>
          <w:szCs w:val="22"/>
          <w:lang w:val="sr-Latn-CS"/>
        </w:rPr>
        <w:t>Х</w:t>
      </w:r>
      <w:r w:rsidRPr="00E82726">
        <w:rPr>
          <w:rFonts w:asciiTheme="minorHAnsi" w:hAnsiTheme="minorHAnsi"/>
          <w:sz w:val="22"/>
          <w:szCs w:val="22"/>
          <w:lang w:val="sr-Latn-CS"/>
        </w:rPr>
        <w:t>y</w:t>
      </w:r>
      <w:r w:rsidR="00DD65E6">
        <w:rPr>
          <w:rFonts w:asciiTheme="minorHAnsi" w:hAnsiTheme="minorHAnsi"/>
          <w:sz w:val="22"/>
          <w:szCs w:val="22"/>
          <w:lang w:val="sr-Latn-CS"/>
        </w:rPr>
        <w:t>дроенерг</w:t>
      </w:r>
      <w:r w:rsidRPr="00E82726">
        <w:rPr>
          <w:rFonts w:asciiTheme="minorHAnsi" w:hAnsiTheme="minorHAnsi"/>
          <w:sz w:val="22"/>
          <w:szCs w:val="22"/>
          <w:lang w:val="sr-Latn-CS"/>
        </w:rPr>
        <w:t xml:space="preserve">y“  </w:t>
      </w:r>
      <w:r w:rsidR="00DD65E6">
        <w:rPr>
          <w:rFonts w:asciiTheme="minorHAnsi" w:hAnsiTheme="minorHAnsi"/>
          <w:sz w:val="22"/>
          <w:szCs w:val="22"/>
          <w:lang w:val="sr-Cyrl-BA"/>
        </w:rPr>
        <w:t>д</w:t>
      </w:r>
      <w:r w:rsidRPr="00E82726">
        <w:rPr>
          <w:rFonts w:asciiTheme="minorHAnsi" w:hAnsiTheme="minorHAnsi"/>
          <w:sz w:val="22"/>
          <w:szCs w:val="22"/>
          <w:lang w:val="sr-Latn-BA"/>
        </w:rPr>
        <w:t>.</w:t>
      </w:r>
      <w:r w:rsidR="00DD65E6">
        <w:rPr>
          <w:rFonts w:asciiTheme="minorHAnsi" w:hAnsiTheme="minorHAnsi"/>
          <w:sz w:val="22"/>
          <w:szCs w:val="22"/>
          <w:lang w:val="sr-Latn-BA"/>
        </w:rPr>
        <w:t>о</w:t>
      </w:r>
      <w:r w:rsidRPr="00E82726">
        <w:rPr>
          <w:rFonts w:asciiTheme="minorHAnsi" w:hAnsiTheme="minorHAnsi"/>
          <w:sz w:val="22"/>
          <w:szCs w:val="22"/>
          <w:lang w:val="sr-Latn-BA"/>
        </w:rPr>
        <w:t>.</w:t>
      </w:r>
      <w:r w:rsidR="00DD65E6">
        <w:rPr>
          <w:rFonts w:asciiTheme="minorHAnsi" w:hAnsiTheme="minorHAnsi"/>
          <w:sz w:val="22"/>
          <w:szCs w:val="22"/>
          <w:lang w:val="sr-Latn-BA"/>
        </w:rPr>
        <w:t>о</w:t>
      </w:r>
      <w:r w:rsidRPr="00E82726">
        <w:rPr>
          <w:rFonts w:asciiTheme="minorHAnsi" w:hAnsiTheme="minorHAnsi"/>
          <w:sz w:val="22"/>
          <w:szCs w:val="22"/>
          <w:lang w:val="sr-Latn-BA"/>
        </w:rPr>
        <w:t>.</w:t>
      </w:r>
      <w:r w:rsidRPr="00E82726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Гацко</w:t>
      </w:r>
      <w:r w:rsidRPr="00E82726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E82726">
        <w:rPr>
          <w:rFonts w:asciiTheme="minorHAnsi" w:hAnsiTheme="minorHAnsi"/>
          <w:sz w:val="22"/>
          <w:szCs w:val="22"/>
          <w:lang w:val="sr-Cyrl-CS"/>
        </w:rPr>
        <w:t>(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E82726">
        <w:rPr>
          <w:rFonts w:asciiTheme="minorHAnsi" w:hAnsiTheme="minorHAnsi"/>
          <w:sz w:val="22"/>
          <w:szCs w:val="22"/>
          <w:lang w:val="sr-Latn-CS"/>
        </w:rPr>
        <w:t>„</w:t>
      </w:r>
      <w:r w:rsidR="00DD65E6">
        <w:rPr>
          <w:rFonts w:asciiTheme="minorHAnsi" w:hAnsiTheme="minorHAnsi"/>
          <w:sz w:val="22"/>
          <w:szCs w:val="22"/>
          <w:lang w:val="sr-Cyrl-CS"/>
        </w:rPr>
        <w:t>Јабушница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С</w:t>
      </w:r>
      <w:r w:rsidRPr="00E82726">
        <w:rPr>
          <w:rFonts w:asciiTheme="minorHAnsi" w:hAnsiTheme="minorHAnsi"/>
          <w:sz w:val="22"/>
          <w:szCs w:val="22"/>
          <w:lang w:val="sr-Cyrl-CS"/>
        </w:rPr>
        <w:t>-3</w:t>
      </w:r>
      <w:r w:rsidRPr="00E82726">
        <w:rPr>
          <w:rFonts w:asciiTheme="minorHAnsi" w:hAnsiTheme="minorHAnsi"/>
          <w:sz w:val="22"/>
          <w:szCs w:val="22"/>
          <w:lang w:val="sr-Latn-CS"/>
        </w:rPr>
        <w:t>“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); </w:t>
      </w:r>
    </w:p>
    <w:p w:rsidR="00E82726" w:rsidRPr="00E82726" w:rsidRDefault="00771EA2" w:rsidP="00E82726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  <w:lang w:val="sr-Cyrl-CS"/>
        </w:rPr>
      </w:pPr>
      <w:r w:rsidRPr="00E82726">
        <w:rPr>
          <w:rFonts w:asciiTheme="minorHAnsi" w:hAnsiTheme="minorHAnsi"/>
          <w:sz w:val="22"/>
          <w:szCs w:val="22"/>
          <w:lang w:val="sr-Cyrl-CS"/>
        </w:rPr>
        <w:t>„</w:t>
      </w:r>
      <w:r w:rsidR="00DD65E6">
        <w:rPr>
          <w:rFonts w:asciiTheme="minorHAnsi" w:hAnsiTheme="minorHAnsi"/>
          <w:sz w:val="22"/>
          <w:szCs w:val="22"/>
          <w:lang w:val="sr-Cyrl-BA"/>
        </w:rPr>
        <w:t>ЕЛП</w:t>
      </w:r>
      <w:r w:rsidRPr="00E82726">
        <w:rPr>
          <w:rFonts w:asciiTheme="minorHAnsi" w:hAnsiTheme="minorHAnsi"/>
          <w:sz w:val="22"/>
          <w:szCs w:val="22"/>
          <w:lang w:val="sr-Cyrl-BA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BA"/>
        </w:rPr>
        <w:t>д</w:t>
      </w:r>
      <w:r w:rsidRPr="00E82726">
        <w:rPr>
          <w:rFonts w:asciiTheme="minorHAnsi" w:hAnsiTheme="minorHAnsi"/>
          <w:sz w:val="22"/>
          <w:szCs w:val="22"/>
          <w:lang w:val="sr-Cyrl-BA"/>
        </w:rPr>
        <w:t>.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E82726">
        <w:rPr>
          <w:rFonts w:asciiTheme="minorHAnsi" w:hAnsiTheme="minorHAnsi"/>
          <w:sz w:val="22"/>
          <w:szCs w:val="22"/>
          <w:lang w:val="sr-Cyrl-BA"/>
        </w:rPr>
        <w:t>.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E82726">
        <w:rPr>
          <w:rFonts w:asciiTheme="minorHAnsi" w:hAnsiTheme="minorHAnsi"/>
          <w:sz w:val="22"/>
          <w:szCs w:val="22"/>
          <w:lang w:val="sr-Cyrl-BA"/>
        </w:rPr>
        <w:t xml:space="preserve">. </w:t>
      </w:r>
      <w:r w:rsidR="00DD65E6">
        <w:rPr>
          <w:rFonts w:asciiTheme="minorHAnsi" w:hAnsiTheme="minorHAnsi"/>
          <w:sz w:val="22"/>
          <w:szCs w:val="22"/>
          <w:lang w:val="sr-Cyrl-BA"/>
        </w:rPr>
        <w:t>Шипово</w:t>
      </w:r>
      <w:r w:rsidRPr="00E82726">
        <w:rPr>
          <w:rFonts w:asciiTheme="minorHAnsi" w:hAnsiTheme="minorHAnsi"/>
          <w:sz w:val="22"/>
          <w:szCs w:val="22"/>
          <w:lang w:val="sr-Cyrl-BA"/>
        </w:rPr>
        <w:t xml:space="preserve"> (</w:t>
      </w:r>
      <w:r w:rsidR="00DD65E6">
        <w:rPr>
          <w:rFonts w:asciiTheme="minorHAnsi" w:hAnsiTheme="minorHAnsi"/>
          <w:sz w:val="22"/>
          <w:szCs w:val="22"/>
          <w:lang w:val="sr-Cyrl-BA"/>
        </w:rPr>
        <w:t>МХЕ</w:t>
      </w:r>
      <w:r w:rsidRPr="00E82726">
        <w:rPr>
          <w:rFonts w:asciiTheme="minorHAnsi" w:hAnsiTheme="minorHAnsi"/>
          <w:sz w:val="22"/>
          <w:szCs w:val="22"/>
          <w:lang w:val="sr-Cyrl-BA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BA"/>
        </w:rPr>
        <w:t>Главица</w:t>
      </w:r>
      <w:r w:rsidRPr="00E82726">
        <w:rPr>
          <w:rFonts w:asciiTheme="minorHAnsi" w:hAnsiTheme="minorHAnsi"/>
          <w:sz w:val="22"/>
          <w:szCs w:val="22"/>
          <w:lang w:val="sr-Cyrl-BA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BA"/>
        </w:rPr>
        <w:t>на</w:t>
      </w:r>
      <w:r w:rsidRPr="00E82726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Пливи</w:t>
      </w:r>
      <w:r w:rsidRPr="00E82726">
        <w:rPr>
          <w:rFonts w:asciiTheme="minorHAnsi" w:hAnsiTheme="minorHAnsi"/>
          <w:sz w:val="22"/>
          <w:szCs w:val="22"/>
          <w:lang w:val="sr-Cyrl-BA"/>
        </w:rPr>
        <w:t>);</w:t>
      </w:r>
    </w:p>
    <w:p w:rsidR="00E82726" w:rsidRPr="00E82726" w:rsidRDefault="00771EA2" w:rsidP="00E82726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  <w:lang w:val="sr-Cyrl-CS"/>
        </w:rPr>
      </w:pPr>
      <w:r w:rsidRPr="00E82726">
        <w:rPr>
          <w:rFonts w:asciiTheme="minorHAnsi" w:hAnsiTheme="minorHAnsi"/>
          <w:sz w:val="22"/>
          <w:szCs w:val="22"/>
          <w:lang w:val="sr-Latn-CS"/>
        </w:rPr>
        <w:t>„</w:t>
      </w:r>
      <w:r w:rsidR="00DD65E6">
        <w:rPr>
          <w:rFonts w:asciiTheme="minorHAnsi" w:hAnsiTheme="minorHAnsi"/>
          <w:sz w:val="22"/>
          <w:szCs w:val="22"/>
          <w:lang w:val="sr-Cyrl-CS"/>
        </w:rPr>
        <w:t>Корона</w:t>
      </w:r>
      <w:r w:rsidRPr="00E82726">
        <w:rPr>
          <w:rFonts w:asciiTheme="minorHAnsi" w:hAnsiTheme="minorHAnsi"/>
          <w:sz w:val="22"/>
          <w:szCs w:val="22"/>
          <w:lang w:val="sr-Latn-CS"/>
        </w:rPr>
        <w:t>“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д</w:t>
      </w:r>
      <w:r w:rsidRPr="00E82726">
        <w:rPr>
          <w:rFonts w:asciiTheme="minorHAnsi" w:hAnsiTheme="minorHAnsi"/>
          <w:sz w:val="22"/>
          <w:szCs w:val="22"/>
          <w:lang w:val="sr-Latn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E82726">
        <w:rPr>
          <w:rFonts w:asciiTheme="minorHAnsi" w:hAnsiTheme="minorHAnsi"/>
          <w:sz w:val="22"/>
          <w:szCs w:val="22"/>
          <w:lang w:val="sr-Latn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E82726">
        <w:rPr>
          <w:rFonts w:asciiTheme="minorHAnsi" w:hAnsiTheme="minorHAnsi"/>
          <w:sz w:val="22"/>
          <w:szCs w:val="22"/>
          <w:lang w:val="sr-Latn-CS"/>
        </w:rPr>
        <w:t>.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Власеница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(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E82726">
        <w:rPr>
          <w:rFonts w:asciiTheme="minorHAnsi" w:hAnsiTheme="minorHAnsi"/>
          <w:sz w:val="22"/>
          <w:szCs w:val="22"/>
          <w:lang w:val="sr-Latn-CS"/>
        </w:rPr>
        <w:t>„</w:t>
      </w:r>
      <w:r w:rsidR="00DD65E6">
        <w:rPr>
          <w:rFonts w:asciiTheme="minorHAnsi" w:hAnsiTheme="minorHAnsi"/>
          <w:sz w:val="22"/>
          <w:szCs w:val="22"/>
          <w:lang w:val="sr-Cyrl-CS"/>
        </w:rPr>
        <w:t>Горњи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Залуковик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Latn-BA"/>
        </w:rPr>
        <w:t>ИИ</w:t>
      </w:r>
      <w:r w:rsidRPr="00E82726">
        <w:rPr>
          <w:rFonts w:asciiTheme="minorHAnsi" w:hAnsiTheme="minorHAnsi"/>
          <w:sz w:val="22"/>
          <w:szCs w:val="22"/>
          <w:lang w:val="sr-Latn-CS"/>
        </w:rPr>
        <w:t>“</w:t>
      </w:r>
      <w:r w:rsidRPr="00E82726">
        <w:rPr>
          <w:rFonts w:asciiTheme="minorHAnsi" w:hAnsiTheme="minorHAnsi"/>
          <w:sz w:val="22"/>
          <w:szCs w:val="22"/>
          <w:lang w:val="sr-Cyrl-CS"/>
        </w:rPr>
        <w:t>);</w:t>
      </w:r>
    </w:p>
    <w:p w:rsidR="00E82726" w:rsidRPr="00E82726" w:rsidRDefault="00771EA2" w:rsidP="00E82726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  <w:lang w:val="sr-Cyrl-CS"/>
        </w:rPr>
      </w:pPr>
      <w:r w:rsidRPr="00E82726">
        <w:rPr>
          <w:rFonts w:asciiTheme="minorHAnsi" w:hAnsiTheme="minorHAnsi"/>
          <w:sz w:val="22"/>
          <w:szCs w:val="22"/>
          <w:lang w:val="sr-Cyrl-CS"/>
        </w:rPr>
        <w:t>„</w:t>
      </w:r>
      <w:r w:rsidR="00DD65E6">
        <w:rPr>
          <w:rFonts w:asciiTheme="minorHAnsi" w:hAnsiTheme="minorHAnsi"/>
          <w:sz w:val="22"/>
          <w:szCs w:val="22"/>
          <w:lang w:val="sr-Cyrl-CS"/>
        </w:rPr>
        <w:t>Еурографика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CS"/>
        </w:rPr>
        <w:t>д</w:t>
      </w:r>
      <w:r w:rsidRPr="00E82726">
        <w:rPr>
          <w:rFonts w:asciiTheme="minorHAnsi" w:hAnsiTheme="minorHAnsi"/>
          <w:sz w:val="22"/>
          <w:szCs w:val="22"/>
          <w:lang w:val="sr-Cyrl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E82726">
        <w:rPr>
          <w:rFonts w:asciiTheme="minorHAnsi" w:hAnsiTheme="minorHAnsi"/>
          <w:sz w:val="22"/>
          <w:szCs w:val="22"/>
          <w:lang w:val="sr-Cyrl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="00DD65E6">
        <w:rPr>
          <w:rFonts w:asciiTheme="minorHAnsi" w:hAnsiTheme="minorHAnsi"/>
          <w:sz w:val="22"/>
          <w:szCs w:val="22"/>
          <w:lang w:val="sr-Cyrl-CS"/>
        </w:rPr>
        <w:t>Зворник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(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Шековићи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CS"/>
        </w:rPr>
        <w:t>на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ријеци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Дрињачи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); </w:t>
      </w:r>
    </w:p>
    <w:p w:rsidR="00771EA2" w:rsidRPr="00E82726" w:rsidRDefault="00771EA2" w:rsidP="00E82726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  <w:lang w:val="sr-Cyrl-CS"/>
        </w:rPr>
      </w:pPr>
      <w:r w:rsidRPr="00E82726">
        <w:rPr>
          <w:rFonts w:asciiTheme="minorHAnsi" w:hAnsiTheme="minorHAnsi"/>
          <w:sz w:val="22"/>
          <w:szCs w:val="22"/>
          <w:lang w:val="sr-Cyrl-CS"/>
        </w:rPr>
        <w:t>„</w:t>
      </w:r>
      <w:r w:rsidR="00DD65E6">
        <w:rPr>
          <w:rFonts w:asciiTheme="minorHAnsi" w:hAnsiTheme="minorHAnsi"/>
          <w:sz w:val="22"/>
          <w:szCs w:val="22"/>
          <w:lang w:val="sr-Cyrl-CS"/>
        </w:rPr>
        <w:t>Ековат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CS"/>
        </w:rPr>
        <w:t>д</w:t>
      </w:r>
      <w:r w:rsidRPr="00E82726">
        <w:rPr>
          <w:rFonts w:asciiTheme="minorHAnsi" w:hAnsiTheme="minorHAnsi"/>
          <w:sz w:val="22"/>
          <w:szCs w:val="22"/>
          <w:lang w:val="sr-Cyrl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E82726">
        <w:rPr>
          <w:rFonts w:asciiTheme="minorHAnsi" w:hAnsiTheme="minorHAnsi"/>
          <w:sz w:val="22"/>
          <w:szCs w:val="22"/>
          <w:lang w:val="sr-Cyrl-CS"/>
        </w:rPr>
        <w:t>.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.  </w:t>
      </w:r>
      <w:r w:rsidR="00DD65E6">
        <w:rPr>
          <w:rFonts w:asciiTheme="minorHAnsi" w:hAnsiTheme="minorHAnsi"/>
          <w:sz w:val="22"/>
          <w:szCs w:val="22"/>
          <w:lang w:val="sr-Cyrl-CS"/>
        </w:rPr>
        <w:t>Мркоњић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Град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(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Сокочница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CS"/>
        </w:rPr>
        <w:t>на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ријеци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Сокочници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и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 </w:t>
      </w:r>
      <w:r w:rsidR="00DD65E6">
        <w:rPr>
          <w:rFonts w:asciiTheme="minorHAnsi" w:hAnsiTheme="minorHAnsi"/>
          <w:sz w:val="22"/>
          <w:szCs w:val="22"/>
          <w:lang w:val="sr-Cyrl-CS"/>
        </w:rPr>
        <w:t>МХЕ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CS"/>
        </w:rPr>
        <w:t>Медна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Склоп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CS"/>
        </w:rPr>
        <w:t>на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ријеци</w:t>
      </w:r>
      <w:r w:rsidRPr="00E8272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Медијанци</w:t>
      </w:r>
      <w:r w:rsidRPr="00E82726">
        <w:rPr>
          <w:rFonts w:asciiTheme="minorHAnsi" w:hAnsiTheme="minorHAnsi"/>
          <w:sz w:val="22"/>
          <w:szCs w:val="22"/>
          <w:lang w:val="sr-Cyrl-CS"/>
        </w:rPr>
        <w:t>).</w:t>
      </w:r>
    </w:p>
    <w:p w:rsidR="006B4867" w:rsidRPr="00D45FDE" w:rsidRDefault="006B4867" w:rsidP="00D45FDE">
      <w:pPr>
        <w:pStyle w:val="Heading3"/>
        <w:rPr>
          <w:lang w:val="sr-Cyrl-CS"/>
        </w:rPr>
      </w:pPr>
      <w:r w:rsidRPr="009C5187">
        <w:t>3.2.</w:t>
      </w:r>
      <w:r w:rsidR="00A62DB2" w:rsidRPr="009C5187">
        <w:t>9</w:t>
      </w:r>
      <w:r w:rsidRPr="009C5187">
        <w:t xml:space="preserve">. </w:t>
      </w:r>
      <w:r w:rsidR="00DD65E6">
        <w:t>Преглед</w:t>
      </w:r>
      <w:r w:rsidRPr="009C5187">
        <w:t xml:space="preserve"> </w:t>
      </w:r>
      <w:r w:rsidR="00DD65E6">
        <w:t>активности</w:t>
      </w:r>
      <w:r w:rsidRPr="009C5187">
        <w:t xml:space="preserve"> </w:t>
      </w:r>
      <w:r w:rsidR="00DD65E6">
        <w:t>на</w:t>
      </w:r>
      <w:r w:rsidRPr="009C5187">
        <w:t xml:space="preserve"> </w:t>
      </w:r>
      <w:r w:rsidR="00DD65E6">
        <w:t>реализацији</w:t>
      </w:r>
      <w:r w:rsidRPr="009C5187">
        <w:t xml:space="preserve"> </w:t>
      </w:r>
      <w:r w:rsidR="00DD65E6">
        <w:t>Уговора</w:t>
      </w:r>
      <w:r w:rsidRPr="009C5187">
        <w:t xml:space="preserve"> </w:t>
      </w:r>
      <w:r w:rsidR="00DD65E6">
        <w:t>о</w:t>
      </w:r>
      <w:r w:rsidRPr="009C5187">
        <w:t xml:space="preserve"> </w:t>
      </w:r>
      <w:r w:rsidR="00DD65E6">
        <w:t>концесији</w:t>
      </w:r>
      <w:r w:rsidRPr="009C5187">
        <w:t xml:space="preserve"> </w:t>
      </w:r>
      <w:r w:rsidR="00DD65E6">
        <w:t>за</w:t>
      </w:r>
      <w:r w:rsidRPr="009C5187">
        <w:t xml:space="preserve"> </w:t>
      </w:r>
      <w:r w:rsidR="00DD65E6">
        <w:rPr>
          <w:lang w:val="sr-Cyrl-CS"/>
        </w:rPr>
        <w:t>МХЕ</w:t>
      </w:r>
      <w:bookmarkEnd w:id="36"/>
      <w:r w:rsidR="00B005BB">
        <w:rPr>
          <w:lang w:val="sr-Cyrl-CS"/>
        </w:rPr>
        <w:t xml:space="preserve"> </w:t>
      </w:r>
      <w:bookmarkEnd w:id="37"/>
      <w:r w:rsidRPr="009C5187">
        <w:rPr>
          <w:rFonts w:asciiTheme="minorHAnsi" w:hAnsiTheme="minorHAnsi"/>
          <w:b/>
          <w:sz w:val="22"/>
          <w:szCs w:val="22"/>
          <w:lang w:val="sr-Cyrl-BA"/>
        </w:rPr>
        <w:tab/>
      </w:r>
    </w:p>
    <w:p w:rsidR="006B4867" w:rsidRDefault="00DD65E6" w:rsidP="006B4867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У</w:t>
      </w:r>
      <w:r w:rsidR="006B4867" w:rsidRPr="00A66049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Прилогу</w:t>
      </w:r>
      <w:r w:rsidR="00B16303" w:rsidRPr="00A66049">
        <w:rPr>
          <w:rFonts w:asciiTheme="minorHAnsi" w:hAnsiTheme="minorHAnsi"/>
          <w:b/>
          <w:sz w:val="22"/>
          <w:szCs w:val="22"/>
          <w:lang w:val="sr-Cyrl-BA"/>
        </w:rPr>
        <w:t xml:space="preserve"> 1</w:t>
      </w:r>
      <w:r w:rsidR="006B4867" w:rsidRPr="009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>
        <w:rPr>
          <w:rFonts w:asciiTheme="minorHAnsi" w:hAnsiTheme="minorHAnsi"/>
          <w:sz w:val="22"/>
          <w:szCs w:val="22"/>
          <w:lang w:val="sr-Cyrl-CS"/>
        </w:rPr>
        <w:t>звјештаја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Комисије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Републике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Српске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2015. </w:t>
      </w:r>
      <w:r>
        <w:rPr>
          <w:rFonts w:asciiTheme="minorHAnsi" w:hAnsiTheme="minorHAnsi"/>
          <w:sz w:val="22"/>
          <w:szCs w:val="22"/>
          <w:lang w:val="sr-Cyrl-CS"/>
        </w:rPr>
        <w:t>годину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дат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табеларни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преглед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активности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реализацији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концесији</w:t>
      </w:r>
      <w:r w:rsidR="00A66049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A66049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МХЕ</w:t>
      </w:r>
      <w:r w:rsidR="00A6604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6B4867" w:rsidRPr="009C5187">
        <w:rPr>
          <w:rFonts w:asciiTheme="minorHAnsi" w:hAnsiTheme="minorHAnsi"/>
          <w:sz w:val="22"/>
          <w:szCs w:val="22"/>
          <w:lang w:val="sr-Cyrl-CS"/>
        </w:rPr>
        <w:t xml:space="preserve"> 2015. </w:t>
      </w:r>
      <w:r>
        <w:rPr>
          <w:rFonts w:asciiTheme="minorHAnsi" w:hAnsiTheme="minorHAnsi"/>
          <w:sz w:val="22"/>
          <w:szCs w:val="22"/>
          <w:lang w:val="sr-Cyrl-CS"/>
        </w:rPr>
        <w:t>години</w:t>
      </w:r>
      <w:r w:rsidR="00A66049">
        <w:rPr>
          <w:rFonts w:asciiTheme="minorHAnsi" w:hAnsiTheme="minorHAnsi"/>
          <w:sz w:val="22"/>
          <w:szCs w:val="22"/>
          <w:lang w:val="sr-Cyrl-CS"/>
        </w:rPr>
        <w:t>.</w:t>
      </w:r>
    </w:p>
    <w:p w:rsidR="00597754" w:rsidRDefault="00597754" w:rsidP="00A66049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A66049" w:rsidRPr="001837AE" w:rsidRDefault="00DD65E6" w:rsidP="00A66049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У</w:t>
      </w:r>
      <w:r w:rsidR="00A66049" w:rsidRPr="001837AE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Прилогу</w:t>
      </w:r>
      <w:r w:rsidR="00A66049" w:rsidRPr="001837AE">
        <w:rPr>
          <w:rFonts w:asciiTheme="minorHAnsi" w:hAnsiTheme="minorHAnsi"/>
          <w:b/>
          <w:sz w:val="22"/>
          <w:szCs w:val="22"/>
          <w:lang w:val="sr-Cyrl-BA"/>
        </w:rPr>
        <w:t xml:space="preserve"> 2</w:t>
      </w:r>
      <w:r w:rsidR="00A66049" w:rsidRPr="001837A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>
        <w:rPr>
          <w:rFonts w:asciiTheme="minorHAnsi" w:hAnsiTheme="minorHAnsi"/>
          <w:sz w:val="22"/>
          <w:szCs w:val="22"/>
          <w:lang w:val="sr-Cyrl-CS"/>
        </w:rPr>
        <w:t>звјештаја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раду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Комисије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Републике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Српске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2015. </w:t>
      </w:r>
      <w:r>
        <w:rPr>
          <w:rFonts w:asciiTheme="minorHAnsi" w:hAnsiTheme="minorHAnsi"/>
          <w:sz w:val="22"/>
          <w:szCs w:val="22"/>
          <w:lang w:val="sr-Cyrl-CS"/>
        </w:rPr>
        <w:t>годину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дат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табеларни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преглед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активности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реализацији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концесији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изградњу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коришћење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енергетских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објеката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2015. </w:t>
      </w:r>
      <w:r>
        <w:rPr>
          <w:rFonts w:asciiTheme="minorHAnsi" w:hAnsiTheme="minorHAnsi"/>
          <w:sz w:val="22"/>
          <w:szCs w:val="22"/>
          <w:lang w:val="sr-Cyrl-CS"/>
        </w:rPr>
        <w:t>години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>.</w:t>
      </w:r>
    </w:p>
    <w:p w:rsidR="00597754" w:rsidRDefault="00597754" w:rsidP="00A66049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A66049" w:rsidRDefault="00DD65E6" w:rsidP="00A66049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У</w:t>
      </w:r>
      <w:r w:rsidR="00A66049" w:rsidRPr="001837AE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Прилогу</w:t>
      </w:r>
      <w:r w:rsidR="00A66049" w:rsidRPr="001837AE">
        <w:rPr>
          <w:rFonts w:asciiTheme="minorHAnsi" w:hAnsiTheme="minorHAnsi"/>
          <w:b/>
          <w:sz w:val="22"/>
          <w:szCs w:val="22"/>
          <w:lang w:val="sr-Cyrl-BA"/>
        </w:rPr>
        <w:t xml:space="preserve"> 3</w:t>
      </w:r>
      <w:r w:rsidR="00A66049" w:rsidRPr="001837A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>
        <w:rPr>
          <w:rFonts w:asciiTheme="minorHAnsi" w:hAnsiTheme="minorHAnsi"/>
          <w:sz w:val="22"/>
          <w:szCs w:val="22"/>
          <w:lang w:val="sr-Cyrl-CS"/>
        </w:rPr>
        <w:t>звјештаја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раду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Комисије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Републике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Српске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2015. </w:t>
      </w:r>
      <w:r>
        <w:rPr>
          <w:rFonts w:asciiTheme="minorHAnsi" w:hAnsiTheme="minorHAnsi"/>
          <w:sz w:val="22"/>
          <w:szCs w:val="22"/>
          <w:lang w:val="sr-Cyrl-CS"/>
        </w:rPr>
        <w:t>годину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дат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табеларни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преглед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активности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реализацији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концесији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изградњу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или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реконструкцију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коришћење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гасовода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нафтовода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др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. 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 xml:space="preserve"> 2015. </w:t>
      </w:r>
      <w:r>
        <w:rPr>
          <w:rFonts w:asciiTheme="minorHAnsi" w:hAnsiTheme="minorHAnsi"/>
          <w:sz w:val="22"/>
          <w:szCs w:val="22"/>
          <w:lang w:val="sr-Cyrl-CS"/>
        </w:rPr>
        <w:t>години</w:t>
      </w:r>
      <w:r w:rsidR="00A66049" w:rsidRPr="001837AE">
        <w:rPr>
          <w:rFonts w:asciiTheme="minorHAnsi" w:hAnsiTheme="minorHAnsi"/>
          <w:sz w:val="22"/>
          <w:szCs w:val="22"/>
          <w:lang w:val="sr-Cyrl-CS"/>
        </w:rPr>
        <w:t>.</w:t>
      </w:r>
    </w:p>
    <w:p w:rsidR="00597754" w:rsidRDefault="00597754" w:rsidP="00A66049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6B4867" w:rsidRDefault="006B4867" w:rsidP="00D45FDE">
      <w:pPr>
        <w:pStyle w:val="Heading3"/>
        <w:rPr>
          <w:lang w:val="sr-Cyrl-BA"/>
        </w:rPr>
      </w:pPr>
      <w:bookmarkStart w:id="38" w:name="_Toc418075620"/>
      <w:bookmarkStart w:id="39" w:name="_Toc449404324"/>
      <w:r w:rsidRPr="009C5187">
        <w:t>3.2.</w:t>
      </w:r>
      <w:r w:rsidR="00A62DB2" w:rsidRPr="009C5187">
        <w:t>10</w:t>
      </w:r>
      <w:r w:rsidRPr="009C5187">
        <w:t xml:space="preserve">. </w:t>
      </w:r>
      <w:r w:rsidR="00DD65E6">
        <w:t>Закључци</w:t>
      </w:r>
      <w:bookmarkEnd w:id="38"/>
      <w:bookmarkEnd w:id="39"/>
      <w:r w:rsidRPr="009C5187">
        <w:t xml:space="preserve"> </w:t>
      </w:r>
    </w:p>
    <w:p w:rsidR="00BB6379" w:rsidRDefault="00DD65E6" w:rsidP="00B21446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Комисија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за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концесије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Републике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Српске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је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мишљења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да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су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Закључцима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Владе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Републике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Српске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везаним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за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додијељене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концесије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за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изградњу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малих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хидроелектрана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(</w:t>
      </w:r>
      <w:r>
        <w:rPr>
          <w:rFonts w:asciiTheme="minorHAnsi" w:hAnsiTheme="minorHAnsi" w:cs="Calibri"/>
          <w:sz w:val="22"/>
          <w:szCs w:val="22"/>
          <w:lang w:val="sr-Cyrl-BA"/>
        </w:rPr>
        <w:t>Закључци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број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: 04/1-012-2-2313/10 </w:t>
      </w:r>
      <w:r>
        <w:rPr>
          <w:rFonts w:asciiTheme="minorHAnsi" w:hAnsiTheme="minorHAnsi" w:cs="Calibri"/>
          <w:sz w:val="22"/>
          <w:szCs w:val="22"/>
          <w:lang w:val="sr-Cyrl-BA"/>
        </w:rPr>
        <w:t>од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11.11.2011. </w:t>
      </w:r>
      <w:r>
        <w:rPr>
          <w:rFonts w:asciiTheme="minorHAnsi" w:hAnsiTheme="minorHAnsi" w:cs="Calibri"/>
          <w:sz w:val="22"/>
          <w:szCs w:val="22"/>
          <w:lang w:val="sr-Cyrl-BA"/>
        </w:rPr>
        <w:t>године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04/1-012-2-2109/11 </w:t>
      </w:r>
      <w:r>
        <w:rPr>
          <w:rFonts w:asciiTheme="minorHAnsi" w:hAnsiTheme="minorHAnsi" w:cs="Calibri"/>
          <w:sz w:val="22"/>
          <w:szCs w:val="22"/>
          <w:lang w:val="sr-Cyrl-BA"/>
        </w:rPr>
        <w:t>од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07.09.2011. </w:t>
      </w:r>
      <w:r>
        <w:rPr>
          <w:rFonts w:asciiTheme="minorHAnsi" w:hAnsiTheme="minorHAnsi" w:cs="Calibri"/>
          <w:sz w:val="22"/>
          <w:szCs w:val="22"/>
          <w:lang w:val="sr-Cyrl-BA"/>
        </w:rPr>
        <w:t>године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) </w:t>
      </w:r>
      <w:r>
        <w:rPr>
          <w:rFonts w:asciiTheme="minorHAnsi" w:hAnsiTheme="minorHAnsi" w:cs="Calibri"/>
          <w:sz w:val="22"/>
          <w:szCs w:val="22"/>
          <w:lang w:val="sr-Cyrl-BA"/>
        </w:rPr>
        <w:t>и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Одлуком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висини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гарантованих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цијена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електричне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енергије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обновљивих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извора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од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 xml:space="preserve"> 30. </w:t>
      </w:r>
      <w:r>
        <w:rPr>
          <w:rFonts w:asciiTheme="minorHAnsi" w:hAnsiTheme="minorHAnsi" w:cs="Calibri"/>
          <w:sz w:val="22"/>
          <w:szCs w:val="22"/>
          <w:lang w:val="sr-Cyrl-BA"/>
        </w:rPr>
        <w:t>новембра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 xml:space="preserve"> 2013. </w:t>
      </w:r>
      <w:r>
        <w:rPr>
          <w:rFonts w:asciiTheme="minorHAnsi" w:hAnsiTheme="minorHAnsi" w:cs="Calibri"/>
          <w:sz w:val="22"/>
          <w:szCs w:val="22"/>
          <w:lang w:val="sr-Cyrl-BA"/>
        </w:rPr>
        <w:t>године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итд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>.,</w:t>
      </w:r>
      <w:r w:rsidR="000847B9">
        <w:rPr>
          <w:rFonts w:asciiTheme="minorHAnsi" w:hAnsiTheme="minorHAnsi" w:cs="Calibri"/>
          <w:sz w:val="22"/>
          <w:szCs w:val="22"/>
          <w:lang w:val="sr-Cyrl-BA"/>
        </w:rPr>
        <w:t>и субвенцијама из ове области,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створени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повољнији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услови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за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реализацију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уговора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концесији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за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изградњу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малих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хидроелектрана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>,</w:t>
      </w:r>
      <w:r w:rsidR="00B16303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што</w:t>
      </w:r>
      <w:r w:rsidR="00B16303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је</w:t>
      </w:r>
      <w:r w:rsidR="00B16303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видљиво</w:t>
      </w:r>
      <w:r w:rsidR="00B16303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</w:t>
      </w:r>
      <w:r w:rsidR="00B16303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прилога</w:t>
      </w:r>
      <w:r w:rsidR="00B16303">
        <w:rPr>
          <w:rFonts w:asciiTheme="minorHAnsi" w:hAnsiTheme="minorHAnsi" w:cs="Calibri"/>
          <w:sz w:val="22"/>
          <w:szCs w:val="22"/>
          <w:lang w:val="sr-Cyrl-BA"/>
        </w:rPr>
        <w:t xml:space="preserve"> 1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Извјештаја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- </w:t>
      </w:r>
      <w:r>
        <w:rPr>
          <w:rFonts w:asciiTheme="minorHAnsi" w:hAnsiTheme="minorHAnsi" w:cs="Calibri"/>
          <w:sz w:val="22"/>
          <w:szCs w:val="22"/>
          <w:lang w:val="sr-Cyrl-BA"/>
        </w:rPr>
        <w:t>Преглед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активности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на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реализацију</w:t>
      </w:r>
      <w:r w:rsidR="00BB6379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уговора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концесији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за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МХЕ</w:t>
      </w:r>
      <w:r w:rsidR="00BB6379" w:rsidRPr="002419AA">
        <w:rPr>
          <w:rFonts w:asciiTheme="minorHAnsi" w:hAnsiTheme="minorHAnsi" w:cs="Calibri"/>
          <w:sz w:val="22"/>
          <w:szCs w:val="22"/>
          <w:lang w:val="sr-Cyrl-BA"/>
        </w:rPr>
        <w:t>.</w:t>
      </w:r>
    </w:p>
    <w:p w:rsidR="00BB6379" w:rsidRPr="007F4A42" w:rsidRDefault="00DD65E6" w:rsidP="00B21446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lastRenderedPageBreak/>
        <w:t>Концедент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Комисија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концесије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складу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важећим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законским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подзаконским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актима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треба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обрате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велику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пажњу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процедуре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промјене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структуре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власништва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концесионом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предузећу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односно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пренос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уговора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концесији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старог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новог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Концесионара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како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би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се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ефикасан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начин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омогућио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пренос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концесионог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уговора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складу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Законом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концесијама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обавезно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преиспитивање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свих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уговора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изградњи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коришћењу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малих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хидроелектрана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те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сугерисати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ресорном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Министарству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се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уговори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којима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није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дошло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до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реализацији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битних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одредби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истог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стави</w:t>
      </w:r>
      <w:r w:rsidR="00322562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322562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приоритет</w:t>
      </w:r>
      <w:r w:rsidR="00322562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</w:t>
      </w:r>
      <w:r w:rsidR="00322562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BB6379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раскидање</w:t>
      </w:r>
      <w:r w:rsidR="00BB6379" w:rsidRPr="002419AA">
        <w:rPr>
          <w:rFonts w:asciiTheme="minorHAnsi" w:hAnsiTheme="minorHAnsi" w:cs="Calibri"/>
          <w:sz w:val="22"/>
          <w:szCs w:val="22"/>
          <w:lang w:val="sr-Cyrl-CS"/>
        </w:rPr>
        <w:t xml:space="preserve">. </w:t>
      </w:r>
    </w:p>
    <w:p w:rsidR="00867E96" w:rsidRPr="00586B42" w:rsidRDefault="00DD65E6" w:rsidP="00B21446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Концесионарима</w:t>
      </w:r>
      <w:r w:rsidR="00223819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који</w:t>
      </w:r>
      <w:r w:rsidR="00223819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су</w:t>
      </w:r>
      <w:r w:rsidR="00223819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223819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реализацији</w:t>
      </w:r>
      <w:r w:rsidR="00223819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уговора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концесији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за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изградњу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малих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хидроелектрана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прибавили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одобрење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за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изградњу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или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су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пред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самим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добијањем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одобрења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за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изградњу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Концедент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би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требао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да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помогне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смислу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потписивања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анекса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уговора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концесији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којима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би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се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прецизније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дефинисао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концесиони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период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одредили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рокови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динамика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реализације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пројекта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гаранције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услови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начини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предаје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објекта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власништво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Републике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Српске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након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истека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концесионог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периода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сл</w:t>
      </w:r>
      <w:r w:rsidR="00867E96" w:rsidRPr="00586B42">
        <w:rPr>
          <w:rFonts w:asciiTheme="minorHAnsi" w:hAnsiTheme="minorHAnsi" w:cs="Calibri"/>
          <w:sz w:val="22"/>
          <w:szCs w:val="22"/>
          <w:lang w:val="sr-Cyrl-BA"/>
        </w:rPr>
        <w:t>.</w:t>
      </w:r>
    </w:p>
    <w:p w:rsidR="00867E96" w:rsidRPr="006F57AD" w:rsidRDefault="00DD65E6" w:rsidP="00B21446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Потребно</w:t>
      </w:r>
      <w:r w:rsid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је</w:t>
      </w:r>
      <w:r w:rsidR="00586B42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пооштрити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критерије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смислу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додјеле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уговора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концесији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за</w:t>
      </w:r>
      <w:r w:rsid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изградњу</w:t>
      </w:r>
      <w:r w:rsid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малих</w:t>
      </w:r>
      <w:r w:rsid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хидроелектрана</w:t>
      </w:r>
      <w:r w:rsid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смислу</w:t>
      </w:r>
      <w:r w:rsid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да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се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досљедније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а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складу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са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Европским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Енергетским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директивама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којима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је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дефинисано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да</w:t>
      </w:r>
      <w:r w:rsidR="00E3194C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 w:rsidR="005D16E0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од</w:t>
      </w:r>
      <w:r w:rsidR="00E3194C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укупног</w:t>
      </w:r>
      <w:r w:rsidR="00E3194C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износа</w:t>
      </w:r>
      <w:r w:rsidR="00E3194C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извора</w:t>
      </w:r>
      <w:r w:rsidR="00E3194C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енергије</w:t>
      </w:r>
      <w:r w:rsidR="00E3194C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 w:rsidR="007240F4">
        <w:rPr>
          <w:rFonts w:asciiTheme="minorHAnsi" w:hAnsiTheme="minorHAnsi" w:cs="Calibri"/>
          <w:sz w:val="22"/>
          <w:szCs w:val="22"/>
          <w:lang w:val="sr-Cyrl-BA"/>
        </w:rPr>
        <w:t>20</w:t>
      </w:r>
      <w:r w:rsidR="005D16E0" w:rsidRPr="00E3194C">
        <w:rPr>
          <w:rFonts w:asciiTheme="minorHAnsi" w:hAnsiTheme="minorHAnsi" w:cs="Calibri"/>
          <w:sz w:val="22"/>
          <w:szCs w:val="22"/>
          <w:lang w:val="sr-Cyrl-BA"/>
        </w:rPr>
        <w:t>%</w:t>
      </w:r>
      <w:r w:rsidR="00E3194C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мора</w:t>
      </w:r>
      <w:r w:rsidR="00E3194C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припадати</w:t>
      </w:r>
      <w:r w:rsidR="00E3194C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изворима</w:t>
      </w:r>
      <w:r w:rsidR="00E3194C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енергије</w:t>
      </w:r>
      <w:r w:rsidR="00E3194C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</w:t>
      </w:r>
      <w:r w:rsidR="00E3194C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обновљивих</w:t>
      </w:r>
      <w:r w:rsidR="00E3194C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ресурса</w:t>
      </w:r>
      <w:r w:rsidR="005D16E0" w:rsidRPr="00E3194C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поштују</w:t>
      </w:r>
      <w:r w:rsidR="00867E96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услови</w:t>
      </w:r>
      <w:r w:rsidR="00867E96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</w:t>
      </w:r>
      <w:r w:rsidR="00867E96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постојеће</w:t>
      </w:r>
      <w:r w:rsidR="00867E96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планске</w:t>
      </w:r>
      <w:r w:rsidR="00867E96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документације</w:t>
      </w:r>
      <w:r w:rsidR="00867E96" w:rsidRPr="00E3194C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да</w:t>
      </w:r>
      <w:r w:rsidR="00867E96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се</w:t>
      </w:r>
      <w:r w:rsidR="00867E96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израда</w:t>
      </w:r>
      <w:r w:rsidR="00867E96" w:rsidRPr="00E3194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одговарајућих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Студија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економске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оправданости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 </w:t>
      </w:r>
      <w:r>
        <w:rPr>
          <w:rFonts w:asciiTheme="minorHAnsi" w:hAnsiTheme="minorHAnsi" w:cs="Calibri"/>
          <w:sz w:val="22"/>
          <w:szCs w:val="22"/>
          <w:lang w:val="sr-Cyrl-BA"/>
        </w:rPr>
        <w:t>повјери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лиценцираним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 </w:t>
      </w:r>
      <w:r>
        <w:rPr>
          <w:rFonts w:asciiTheme="minorHAnsi" w:hAnsiTheme="minorHAnsi" w:cs="Calibri"/>
          <w:sz w:val="22"/>
          <w:szCs w:val="22"/>
          <w:lang w:val="sr-Cyrl-BA"/>
        </w:rPr>
        <w:t>кућама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као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код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одабира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нових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Концесионара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гдје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се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треба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повести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више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рачуна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њиховој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финансијској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способности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>,</w:t>
      </w:r>
      <w:r w:rsidR="00167C46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профитној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стабилности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ликвидности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задужености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референцама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те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стручној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техничкој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опремљености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броју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домаћег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запосленог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радно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>-</w:t>
      </w:r>
      <w:r>
        <w:rPr>
          <w:rFonts w:asciiTheme="minorHAnsi" w:hAnsiTheme="minorHAnsi" w:cs="Calibri"/>
          <w:sz w:val="22"/>
          <w:szCs w:val="22"/>
          <w:lang w:val="sr-Cyrl-BA"/>
        </w:rPr>
        <w:t>способног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становништва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сл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>.</w:t>
      </w:r>
    </w:p>
    <w:p w:rsidR="00867E96" w:rsidRPr="00A66049" w:rsidRDefault="00DD65E6" w:rsidP="00B21446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Комисија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је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уочила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да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се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усвојени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Правилници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висини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концесионе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накнаде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банкарским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гаранцијама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областима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којима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се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додјељује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концесија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практичној</w:t>
      </w:r>
      <w:r w:rsidR="005D16E0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примјени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нису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довели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до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очекиваних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резултата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смислу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повећања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уплате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концесионе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накнаде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Буџет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Републике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Српске</w:t>
      </w:r>
      <w:r w:rsidR="00867E96" w:rsidRPr="002419AA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те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се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приступило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преиспитивању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измјени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допуни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а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саставу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активности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измјене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допуне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самог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Закона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концесијама</w:t>
      </w:r>
      <w:r w:rsidR="0031227E">
        <w:rPr>
          <w:rFonts w:asciiTheme="minorHAnsi" w:hAnsiTheme="minorHAnsi" w:cs="Calibri"/>
          <w:sz w:val="22"/>
          <w:szCs w:val="22"/>
          <w:lang w:val="sr-Cyrl-BA"/>
        </w:rPr>
        <w:t>,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сврху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једнообразности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уплата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концесионих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накнада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са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акцентом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да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би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таква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измјена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привукла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већи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број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инвеститора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и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улагача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који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би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побољшали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развој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енергетског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сектора</w:t>
      </w:r>
      <w:r w:rsidR="0093677C">
        <w:rPr>
          <w:rFonts w:asciiTheme="minorHAnsi" w:hAnsiTheme="minorHAnsi" w:cs="Calibri"/>
          <w:sz w:val="22"/>
          <w:szCs w:val="22"/>
          <w:lang w:val="sr-Cyrl-BA"/>
        </w:rPr>
        <w:t>.</w:t>
      </w:r>
    </w:p>
    <w:p w:rsidR="00A66049" w:rsidRPr="00232CF6" w:rsidRDefault="00DD65E6" w:rsidP="00A66049">
      <w:pPr>
        <w:ind w:left="720"/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A66049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вези</w:t>
      </w:r>
      <w:r w:rsidR="00A66049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</w:t>
      </w:r>
      <w:r w:rsidR="00A66049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горе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наведеним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неопходно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је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уредити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плаћање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концесионе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накаде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преиспитивањем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донесених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аката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као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усклађивање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Законом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6E753E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коришћењу</w:t>
      </w:r>
      <w:r w:rsidR="0046057F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природних</w:t>
      </w:r>
      <w:r w:rsidR="0046057F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ресурса</w:t>
      </w:r>
      <w:r w:rsidR="0046057F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46057F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сврху</w:t>
      </w:r>
      <w:r w:rsidR="0046057F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производње</w:t>
      </w:r>
      <w:r w:rsidR="0046057F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електричне</w:t>
      </w:r>
      <w:r w:rsidR="0046057F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енергије</w:t>
      </w:r>
      <w:r w:rsidR="0046057F" w:rsidRPr="008D0D8E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>(„</w:t>
      </w:r>
      <w:r>
        <w:rPr>
          <w:rFonts w:asciiTheme="minorHAnsi" w:hAnsiTheme="minorHAnsi"/>
          <w:sz w:val="22"/>
          <w:szCs w:val="22"/>
          <w:lang w:val="sr-Cyrl-CS"/>
        </w:rPr>
        <w:t>Службени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гласник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Републике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Српске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“, </w:t>
      </w:r>
      <w:r>
        <w:rPr>
          <w:rFonts w:asciiTheme="minorHAnsi" w:hAnsiTheme="minorHAnsi"/>
          <w:sz w:val="22"/>
          <w:szCs w:val="22"/>
          <w:lang w:val="sr-Cyrl-CS"/>
        </w:rPr>
        <w:t>број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: 52/14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број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:15/16), </w:t>
      </w:r>
      <w:r>
        <w:rPr>
          <w:rFonts w:asciiTheme="minorHAnsi" w:hAnsiTheme="minorHAnsi"/>
          <w:sz w:val="22"/>
          <w:szCs w:val="22"/>
          <w:lang w:val="sr-Cyrl-CS"/>
        </w:rPr>
        <w:t>гдје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јавља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проблем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плаћања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накнада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више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основа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исти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природни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ресурс</w:t>
      </w:r>
      <w:r w:rsidR="0046057F" w:rsidRPr="008D0D8E">
        <w:rPr>
          <w:rFonts w:asciiTheme="minorHAnsi" w:hAnsiTheme="minorHAnsi"/>
          <w:sz w:val="22"/>
          <w:szCs w:val="22"/>
          <w:lang w:val="sr-Cyrl-CS"/>
        </w:rPr>
        <w:t>.</w:t>
      </w:r>
    </w:p>
    <w:p w:rsidR="009F35AA" w:rsidRPr="005949A7" w:rsidRDefault="009F35AA" w:rsidP="007240F4">
      <w:pPr>
        <w:pStyle w:val="Heading2"/>
        <w:rPr>
          <w:lang w:val="sr-Cyrl-BA"/>
        </w:rPr>
      </w:pPr>
      <w:bookmarkStart w:id="40" w:name="_Toc418075621"/>
      <w:bookmarkStart w:id="41" w:name="_Toc449404325"/>
      <w:r w:rsidRPr="005949A7">
        <w:t xml:space="preserve">3.3. </w:t>
      </w:r>
      <w:r w:rsidR="00DD65E6">
        <w:t>Активности</w:t>
      </w:r>
      <w:r w:rsidRPr="005949A7">
        <w:t xml:space="preserve"> </w:t>
      </w:r>
      <w:r w:rsidR="00DD65E6">
        <w:t>Комисије</w:t>
      </w:r>
      <w:r w:rsidRPr="005949A7">
        <w:t xml:space="preserve"> </w:t>
      </w:r>
      <w:r w:rsidR="00DD65E6">
        <w:t>из</w:t>
      </w:r>
      <w:r w:rsidRPr="005949A7">
        <w:t xml:space="preserve"> </w:t>
      </w:r>
      <w:r w:rsidR="00DD65E6">
        <w:t>области</w:t>
      </w:r>
      <w:r w:rsidRPr="005949A7">
        <w:t xml:space="preserve"> </w:t>
      </w:r>
      <w:r w:rsidR="00DD65E6">
        <w:t>минералних</w:t>
      </w:r>
      <w:r w:rsidRPr="005949A7">
        <w:t xml:space="preserve"> </w:t>
      </w:r>
      <w:r w:rsidR="00DD65E6">
        <w:t>ресурса</w:t>
      </w:r>
      <w:bookmarkEnd w:id="40"/>
      <w:bookmarkEnd w:id="41"/>
      <w:r w:rsidR="009434A7" w:rsidRPr="005949A7">
        <w:rPr>
          <w:lang w:val="sr-Cyrl-BA"/>
        </w:rPr>
        <w:t xml:space="preserve"> </w:t>
      </w:r>
    </w:p>
    <w:p w:rsidR="009F35AA" w:rsidRPr="005949A7" w:rsidRDefault="009F35AA" w:rsidP="007240F4">
      <w:pPr>
        <w:pStyle w:val="Heading3"/>
      </w:pPr>
      <w:bookmarkStart w:id="42" w:name="_Toc418075622"/>
      <w:bookmarkStart w:id="43" w:name="_Toc449404326"/>
      <w:r w:rsidRPr="005949A7">
        <w:t>3</w:t>
      </w:r>
      <w:r w:rsidRPr="005949A7">
        <w:rPr>
          <w:lang w:val="ru-RU"/>
        </w:rPr>
        <w:t xml:space="preserve">.3.1. </w:t>
      </w:r>
      <w:r w:rsidR="00DD65E6">
        <w:t>Рјешења</w:t>
      </w:r>
      <w:r w:rsidRPr="005949A7">
        <w:t xml:space="preserve"> </w:t>
      </w:r>
      <w:r w:rsidR="00DD65E6">
        <w:rPr>
          <w:lang w:val="sr-Latn-BA"/>
        </w:rPr>
        <w:t>К</w:t>
      </w:r>
      <w:r w:rsidR="00DD65E6">
        <w:t>омисије</w:t>
      </w:r>
      <w:bookmarkEnd w:id="42"/>
      <w:bookmarkEnd w:id="43"/>
    </w:p>
    <w:p w:rsidR="009F35AA" w:rsidRPr="005949A7" w:rsidRDefault="00DD65E6" w:rsidP="009F35AA">
      <w:pPr>
        <w:spacing w:after="120"/>
        <w:jc w:val="both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Cyrl-BA"/>
        </w:rPr>
        <w:t>У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току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2015.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Министарство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инду</w:t>
      </w:r>
      <w:r>
        <w:rPr>
          <w:rFonts w:asciiTheme="minorHAnsi" w:hAnsiTheme="minorHAnsi"/>
          <w:sz w:val="22"/>
          <w:szCs w:val="22"/>
          <w:lang w:val="sr-Cyrl-CS"/>
        </w:rPr>
        <w:t>с</w:t>
      </w:r>
      <w:r>
        <w:rPr>
          <w:rFonts w:asciiTheme="minorHAnsi" w:hAnsiTheme="minorHAnsi"/>
          <w:sz w:val="22"/>
          <w:szCs w:val="22"/>
          <w:lang w:val="sr-Cyrl-BA"/>
        </w:rPr>
        <w:t>трије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енергетике</w:t>
      </w:r>
      <w:r w:rsidR="007240F4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7240F4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рударства</w:t>
      </w:r>
      <w:r w:rsidR="007240F4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7240F4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упутило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33 (</w:t>
      </w:r>
      <w:r>
        <w:rPr>
          <w:rFonts w:asciiTheme="minorHAnsi" w:hAnsiTheme="minorHAnsi"/>
          <w:sz w:val="22"/>
          <w:szCs w:val="22"/>
          <w:lang w:val="sr-Cyrl-BA"/>
        </w:rPr>
        <w:t>тридесеттри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) </w:t>
      </w:r>
      <w:r>
        <w:rPr>
          <w:rFonts w:asciiTheme="minorHAnsi" w:hAnsiTheme="minorHAnsi"/>
          <w:sz w:val="22"/>
          <w:szCs w:val="22"/>
          <w:lang w:val="sr-Cyrl-BA"/>
        </w:rPr>
        <w:t>захтјева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који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односили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рјешавање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предмета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минералних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ресурса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донијела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упутила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Министарству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индустрије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енергетике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рударства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>:</w:t>
      </w:r>
    </w:p>
    <w:p w:rsidR="009F35AA" w:rsidRPr="005949A7" w:rsidRDefault="009F35AA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5949A7">
        <w:rPr>
          <w:rFonts w:asciiTheme="minorHAnsi" w:hAnsiTheme="minorHAnsi"/>
          <w:sz w:val="22"/>
          <w:szCs w:val="22"/>
          <w:lang w:val="sr-Cyrl-BA"/>
        </w:rPr>
        <w:t>1</w:t>
      </w:r>
      <w:r w:rsidRPr="005949A7">
        <w:rPr>
          <w:rFonts w:asciiTheme="minorHAnsi" w:hAnsiTheme="minorHAnsi"/>
          <w:sz w:val="22"/>
          <w:szCs w:val="22"/>
          <w:lang w:val="sr-Cyrl-BA"/>
        </w:rPr>
        <w:tab/>
      </w:r>
      <w:r w:rsidR="00DD65E6">
        <w:rPr>
          <w:rFonts w:asciiTheme="minorHAnsi" w:hAnsiTheme="minorHAnsi"/>
          <w:sz w:val="22"/>
          <w:szCs w:val="22"/>
          <w:lang w:val="sr-Cyrl-BA"/>
        </w:rPr>
        <w:t>Рјешење</w:t>
      </w:r>
      <w:r w:rsidRPr="005949A7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давању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сагласности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на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Студију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економске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оправданости</w:t>
      </w:r>
      <w:r w:rsidRPr="005949A7">
        <w:rPr>
          <w:rFonts w:asciiTheme="minorHAnsi" w:hAnsiTheme="minorHAnsi"/>
          <w:sz w:val="22"/>
          <w:szCs w:val="22"/>
          <w:lang w:val="sr-Cyrl-BA"/>
        </w:rPr>
        <w:t xml:space="preserve">; </w:t>
      </w:r>
    </w:p>
    <w:p w:rsidR="009F35AA" w:rsidRPr="005949A7" w:rsidRDefault="009F35AA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5949A7">
        <w:rPr>
          <w:rFonts w:asciiTheme="minorHAnsi" w:hAnsiTheme="minorHAnsi"/>
          <w:sz w:val="22"/>
          <w:szCs w:val="22"/>
          <w:lang w:val="sr-Cyrl-BA"/>
        </w:rPr>
        <w:t>1</w:t>
      </w:r>
      <w:r w:rsidRPr="005949A7">
        <w:rPr>
          <w:rFonts w:asciiTheme="minorHAnsi" w:hAnsiTheme="minorHAnsi"/>
          <w:sz w:val="22"/>
          <w:szCs w:val="22"/>
          <w:lang w:val="sr-Cyrl-BA"/>
        </w:rPr>
        <w:tab/>
      </w:r>
      <w:r w:rsidR="00DD65E6">
        <w:rPr>
          <w:rFonts w:asciiTheme="minorHAnsi" w:hAnsiTheme="minorHAnsi"/>
          <w:sz w:val="22"/>
          <w:szCs w:val="22"/>
          <w:lang w:val="sr-Cyrl-CS"/>
        </w:rPr>
        <w:t>Рјешење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одобравању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Јавног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позива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за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додјелу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концесија</w:t>
      </w:r>
      <w:r w:rsidRPr="005949A7">
        <w:rPr>
          <w:rFonts w:asciiTheme="minorHAnsi" w:hAnsiTheme="minorHAnsi"/>
          <w:sz w:val="22"/>
          <w:szCs w:val="22"/>
          <w:lang w:val="sr-Cyrl-CS"/>
        </w:rPr>
        <w:t>;</w:t>
      </w:r>
    </w:p>
    <w:p w:rsidR="009F35AA" w:rsidRPr="005949A7" w:rsidRDefault="009F35AA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5949A7">
        <w:rPr>
          <w:rFonts w:asciiTheme="minorHAnsi" w:hAnsiTheme="minorHAnsi"/>
          <w:sz w:val="22"/>
          <w:szCs w:val="22"/>
          <w:lang w:val="sr-Cyrl-BA"/>
        </w:rPr>
        <w:t>9</w:t>
      </w:r>
      <w:r w:rsidRPr="005949A7">
        <w:rPr>
          <w:rFonts w:asciiTheme="minorHAnsi" w:hAnsiTheme="minorHAnsi"/>
          <w:sz w:val="22"/>
          <w:szCs w:val="22"/>
          <w:lang w:val="sr-Cyrl-BA"/>
        </w:rPr>
        <w:tab/>
      </w:r>
      <w:r w:rsidR="00DD65E6">
        <w:rPr>
          <w:rFonts w:asciiTheme="minorHAnsi" w:hAnsiTheme="minorHAnsi"/>
          <w:sz w:val="22"/>
          <w:szCs w:val="22"/>
          <w:lang w:val="sr-Cyrl-CS"/>
        </w:rPr>
        <w:t>Рјешења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давању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сагласности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на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документацију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за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јавно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надметање</w:t>
      </w:r>
      <w:r w:rsidRPr="005949A7">
        <w:rPr>
          <w:rFonts w:asciiTheme="minorHAnsi" w:hAnsiTheme="minorHAnsi"/>
          <w:sz w:val="22"/>
          <w:szCs w:val="22"/>
          <w:lang w:val="sr-Cyrl-CS"/>
        </w:rPr>
        <w:t>;</w:t>
      </w:r>
    </w:p>
    <w:p w:rsidR="009F35AA" w:rsidRPr="005949A7" w:rsidRDefault="009F35AA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5949A7">
        <w:rPr>
          <w:rFonts w:asciiTheme="minorHAnsi" w:hAnsiTheme="minorHAnsi"/>
          <w:sz w:val="22"/>
          <w:szCs w:val="22"/>
          <w:lang w:val="sr-Cyrl-CS"/>
        </w:rPr>
        <w:t>2</w:t>
      </w:r>
      <w:r w:rsidRPr="005949A7">
        <w:rPr>
          <w:rFonts w:asciiTheme="minorHAnsi" w:hAnsiTheme="minorHAnsi"/>
          <w:sz w:val="22"/>
          <w:szCs w:val="22"/>
          <w:lang w:val="sr-Cyrl-CS"/>
        </w:rPr>
        <w:tab/>
      </w:r>
      <w:r w:rsidR="00DD65E6">
        <w:rPr>
          <w:rFonts w:asciiTheme="minorHAnsi" w:hAnsiTheme="minorHAnsi"/>
          <w:sz w:val="22"/>
          <w:szCs w:val="22"/>
          <w:lang w:val="sr-Cyrl-CS"/>
        </w:rPr>
        <w:t>Рјешења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давању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сагласности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за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вођење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преговора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са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понуђачима</w:t>
      </w:r>
      <w:r w:rsidRPr="005949A7">
        <w:rPr>
          <w:rFonts w:asciiTheme="minorHAnsi" w:hAnsiTheme="minorHAnsi"/>
          <w:sz w:val="22"/>
          <w:szCs w:val="22"/>
          <w:lang w:val="sr-Cyrl-CS"/>
        </w:rPr>
        <w:t>;</w:t>
      </w:r>
    </w:p>
    <w:p w:rsidR="009F35AA" w:rsidRPr="005949A7" w:rsidRDefault="009F35AA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5949A7">
        <w:rPr>
          <w:rFonts w:asciiTheme="minorHAnsi" w:hAnsiTheme="minorHAnsi"/>
          <w:sz w:val="22"/>
          <w:szCs w:val="22"/>
          <w:lang w:val="sr-Cyrl-CS"/>
        </w:rPr>
        <w:t xml:space="preserve">1 </w:t>
      </w:r>
      <w:r w:rsidR="00DD65E6">
        <w:rPr>
          <w:rFonts w:asciiTheme="minorHAnsi" w:hAnsiTheme="minorHAnsi"/>
          <w:sz w:val="22"/>
          <w:szCs w:val="22"/>
          <w:lang w:val="sr-Cyrl-CS"/>
        </w:rPr>
        <w:t>Закључак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којим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се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одбацује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понуда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пристигла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на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Јавни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позив</w:t>
      </w:r>
      <w:r w:rsidRPr="005949A7">
        <w:rPr>
          <w:rFonts w:asciiTheme="minorHAnsi" w:hAnsiTheme="minorHAnsi"/>
          <w:sz w:val="22"/>
          <w:szCs w:val="22"/>
          <w:lang w:val="sr-Cyrl-CS"/>
        </w:rPr>
        <w:t>;</w:t>
      </w:r>
    </w:p>
    <w:p w:rsidR="009F35AA" w:rsidRPr="005949A7" w:rsidRDefault="009F35AA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5949A7">
        <w:rPr>
          <w:rFonts w:asciiTheme="minorHAnsi" w:hAnsiTheme="minorHAnsi"/>
          <w:sz w:val="22"/>
          <w:szCs w:val="22"/>
          <w:lang w:val="sr-Cyrl-CS"/>
        </w:rPr>
        <w:t>4</w:t>
      </w:r>
      <w:r w:rsidRPr="005949A7">
        <w:rPr>
          <w:rFonts w:asciiTheme="minorHAnsi" w:hAnsiTheme="minorHAnsi"/>
          <w:sz w:val="22"/>
          <w:szCs w:val="22"/>
          <w:lang w:val="sr-Cyrl-CS"/>
        </w:rPr>
        <w:tab/>
      </w:r>
      <w:r w:rsidR="00DD65E6">
        <w:rPr>
          <w:rFonts w:asciiTheme="minorHAnsi" w:hAnsiTheme="minorHAnsi"/>
          <w:sz w:val="22"/>
          <w:szCs w:val="22"/>
          <w:lang w:val="sr-Cyrl-CS"/>
        </w:rPr>
        <w:t>Рјешења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давању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сагласности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 </w:t>
      </w:r>
      <w:r w:rsidR="00DD65E6">
        <w:rPr>
          <w:rFonts w:asciiTheme="minorHAnsi" w:hAnsiTheme="minorHAnsi"/>
          <w:sz w:val="22"/>
          <w:szCs w:val="22"/>
          <w:lang w:val="sr-Cyrl-CS"/>
        </w:rPr>
        <w:t>за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закључење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уговора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концесији</w:t>
      </w:r>
      <w:r w:rsidRPr="005949A7">
        <w:rPr>
          <w:rFonts w:asciiTheme="minorHAnsi" w:hAnsiTheme="minorHAnsi"/>
          <w:sz w:val="22"/>
          <w:szCs w:val="22"/>
          <w:lang w:val="sr-Cyrl-CS"/>
        </w:rPr>
        <w:t>;</w:t>
      </w:r>
    </w:p>
    <w:p w:rsidR="009F35AA" w:rsidRPr="005949A7" w:rsidRDefault="009F35AA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5949A7">
        <w:rPr>
          <w:rFonts w:asciiTheme="minorHAnsi" w:hAnsiTheme="minorHAnsi"/>
          <w:sz w:val="22"/>
          <w:szCs w:val="22"/>
          <w:lang w:val="sr-Cyrl-BA"/>
        </w:rPr>
        <w:lastRenderedPageBreak/>
        <w:t>6</w:t>
      </w:r>
      <w:r w:rsidRPr="005949A7">
        <w:rPr>
          <w:rFonts w:asciiTheme="minorHAnsi" w:hAnsiTheme="minorHAnsi"/>
          <w:sz w:val="22"/>
          <w:szCs w:val="22"/>
          <w:lang w:val="sr-Cyrl-BA"/>
        </w:rPr>
        <w:tab/>
      </w:r>
      <w:r w:rsidR="00DD65E6">
        <w:rPr>
          <w:rFonts w:asciiTheme="minorHAnsi" w:hAnsiTheme="minorHAnsi"/>
          <w:sz w:val="22"/>
          <w:szCs w:val="22"/>
          <w:lang w:val="sr-Cyrl-CS"/>
        </w:rPr>
        <w:t>Рјешења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 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давању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пре</w:t>
      </w:r>
      <w:r w:rsidR="00DD65E6">
        <w:rPr>
          <w:rFonts w:asciiTheme="minorHAnsi" w:hAnsiTheme="minorHAnsi"/>
          <w:sz w:val="22"/>
          <w:szCs w:val="22"/>
          <w:lang w:val="sr-Cyrl-BA"/>
        </w:rPr>
        <w:t>т</w:t>
      </w:r>
      <w:r w:rsidR="00DD65E6">
        <w:rPr>
          <w:rFonts w:asciiTheme="minorHAnsi" w:hAnsiTheme="minorHAnsi"/>
          <w:sz w:val="22"/>
          <w:szCs w:val="22"/>
          <w:lang w:val="sr-Cyrl-CS"/>
        </w:rPr>
        <w:t>ходне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сагласности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на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П</w:t>
      </w:r>
      <w:r w:rsidR="00DD65E6">
        <w:rPr>
          <w:rFonts w:asciiTheme="minorHAnsi" w:hAnsiTheme="minorHAnsi"/>
          <w:sz w:val="22"/>
          <w:szCs w:val="22"/>
          <w:lang w:val="sr-Cyrl-CS"/>
        </w:rPr>
        <w:t>риједлог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уговора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концесији</w:t>
      </w:r>
      <w:r w:rsidRPr="005949A7">
        <w:rPr>
          <w:rFonts w:asciiTheme="minorHAnsi" w:hAnsiTheme="minorHAnsi"/>
          <w:sz w:val="22"/>
          <w:szCs w:val="22"/>
          <w:lang w:val="sr-Cyrl-CS"/>
        </w:rPr>
        <w:t>;</w:t>
      </w:r>
    </w:p>
    <w:p w:rsidR="009F35AA" w:rsidRPr="005949A7" w:rsidRDefault="009F35AA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5949A7">
        <w:rPr>
          <w:rFonts w:asciiTheme="minorHAnsi" w:hAnsiTheme="minorHAnsi"/>
          <w:sz w:val="22"/>
          <w:szCs w:val="22"/>
          <w:lang w:val="sr-Cyrl-BA"/>
        </w:rPr>
        <w:t xml:space="preserve">2 </w:t>
      </w:r>
      <w:r w:rsidR="00DD65E6">
        <w:rPr>
          <w:rFonts w:asciiTheme="minorHAnsi" w:hAnsiTheme="minorHAnsi"/>
          <w:sz w:val="22"/>
          <w:szCs w:val="22"/>
          <w:lang w:val="sr-Cyrl-BA"/>
        </w:rPr>
        <w:t>Рјешења</w:t>
      </w:r>
      <w:r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давању</w:t>
      </w:r>
      <w:r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на</w:t>
      </w:r>
      <w:r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уступање</w:t>
      </w:r>
      <w:r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уговора</w:t>
      </w:r>
      <w:r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концесији</w:t>
      </w:r>
      <w:r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</w:t>
      </w:r>
      <w:r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промјени</w:t>
      </w:r>
      <w:r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власничке</w:t>
      </w:r>
      <w:r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структуре</w:t>
      </w:r>
      <w:r w:rsidRPr="005949A7">
        <w:rPr>
          <w:rFonts w:asciiTheme="minorHAnsi" w:hAnsiTheme="minorHAnsi"/>
          <w:sz w:val="22"/>
          <w:szCs w:val="22"/>
          <w:lang w:val="sr-Cyrl-BA"/>
        </w:rPr>
        <w:t>;</w:t>
      </w:r>
    </w:p>
    <w:p w:rsidR="009F35AA" w:rsidRPr="005949A7" w:rsidRDefault="009F35AA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5949A7">
        <w:rPr>
          <w:rFonts w:asciiTheme="minorHAnsi" w:hAnsiTheme="minorHAnsi"/>
          <w:sz w:val="22"/>
          <w:szCs w:val="22"/>
          <w:lang w:val="sr-Cyrl-CS"/>
        </w:rPr>
        <w:t>7</w:t>
      </w:r>
      <w:r w:rsidRPr="005949A7">
        <w:rPr>
          <w:rFonts w:asciiTheme="minorHAnsi" w:hAnsiTheme="minorHAnsi"/>
          <w:sz w:val="22"/>
          <w:szCs w:val="22"/>
          <w:lang w:val="sr-Cyrl-CS"/>
        </w:rPr>
        <w:tab/>
      </w:r>
      <w:r w:rsidR="00DD65E6">
        <w:rPr>
          <w:rFonts w:asciiTheme="minorHAnsi" w:hAnsiTheme="minorHAnsi"/>
          <w:sz w:val="22"/>
          <w:szCs w:val="22"/>
          <w:lang w:val="sr-Cyrl-CS"/>
        </w:rPr>
        <w:t>Рјешења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давању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сагласности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за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закључење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анекса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уговора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</w:t>
      </w:r>
      <w:r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концесији</w:t>
      </w:r>
      <w:r w:rsidRPr="005949A7">
        <w:rPr>
          <w:rFonts w:asciiTheme="minorHAnsi" w:hAnsiTheme="minorHAnsi"/>
          <w:sz w:val="22"/>
          <w:szCs w:val="22"/>
          <w:lang w:val="sr-Cyrl-CS"/>
        </w:rPr>
        <w:t>.</w:t>
      </w:r>
    </w:p>
    <w:p w:rsidR="009F35AA" w:rsidRPr="005949A7" w:rsidRDefault="009F35AA" w:rsidP="009F35AA">
      <w:pPr>
        <w:ind w:left="540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9F35AA" w:rsidRDefault="00DD65E6" w:rsidP="009F35AA">
      <w:pPr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BA"/>
        </w:rPr>
        <w:t>Министарство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индустрије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енергетике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рударства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доставило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11 (</w:t>
      </w:r>
      <w:r>
        <w:rPr>
          <w:rFonts w:asciiTheme="minorHAnsi" w:hAnsiTheme="minorHAnsi"/>
          <w:sz w:val="22"/>
          <w:szCs w:val="22"/>
          <w:lang w:val="sr-Cyrl-BA"/>
        </w:rPr>
        <w:t>једанаест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) </w:t>
      </w:r>
      <w:r>
        <w:rPr>
          <w:rFonts w:asciiTheme="minorHAnsi" w:hAnsiTheme="minorHAnsi"/>
          <w:sz w:val="22"/>
          <w:szCs w:val="22"/>
          <w:lang w:val="sr-Cyrl-BA"/>
        </w:rPr>
        <w:t>закључених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концесији</w:t>
      </w:r>
      <w:r w:rsidR="009F35AA" w:rsidRPr="005949A7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минералних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ресурса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2015. </w:t>
      </w:r>
      <w:r>
        <w:rPr>
          <w:rFonts w:asciiTheme="minorHAnsi" w:hAnsiTheme="minorHAnsi"/>
          <w:sz w:val="22"/>
          <w:szCs w:val="22"/>
          <w:lang w:val="sr-Cyrl-CS"/>
        </w:rPr>
        <w:t>години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>.</w:t>
      </w:r>
    </w:p>
    <w:p w:rsidR="00CB4342" w:rsidRPr="005949A7" w:rsidRDefault="00CB4342" w:rsidP="009F35AA">
      <w:pPr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9F35AA" w:rsidRPr="005949A7" w:rsidRDefault="00DD65E6" w:rsidP="009F35AA">
      <w:p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У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табелама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146623" w:rsidRPr="005949A7">
        <w:rPr>
          <w:rFonts w:asciiTheme="minorHAnsi" w:hAnsiTheme="minorHAnsi"/>
          <w:sz w:val="22"/>
          <w:szCs w:val="22"/>
          <w:lang w:val="sr-Cyrl-BA"/>
        </w:rPr>
        <w:t>9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>, 1</w:t>
      </w:r>
      <w:r w:rsidR="00BA10B3" w:rsidRPr="005949A7">
        <w:rPr>
          <w:rFonts w:asciiTheme="minorHAnsi" w:hAnsiTheme="minorHAnsi"/>
          <w:sz w:val="22"/>
          <w:szCs w:val="22"/>
          <w:lang w:val="sr-Cyrl-BA"/>
        </w:rPr>
        <w:t>0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>, 1</w:t>
      </w:r>
      <w:r w:rsidR="00BA10B3" w:rsidRPr="005949A7">
        <w:rPr>
          <w:rFonts w:asciiTheme="minorHAnsi" w:hAnsiTheme="minorHAnsi"/>
          <w:sz w:val="22"/>
          <w:szCs w:val="22"/>
          <w:lang w:val="sr-Cyrl-BA"/>
        </w:rPr>
        <w:t>1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>, 1</w:t>
      </w:r>
      <w:r w:rsidR="00BA10B3" w:rsidRPr="005949A7">
        <w:rPr>
          <w:rFonts w:asciiTheme="minorHAnsi" w:hAnsiTheme="minorHAnsi"/>
          <w:sz w:val="22"/>
          <w:szCs w:val="22"/>
          <w:lang w:val="sr-Cyrl-BA"/>
        </w:rPr>
        <w:t>2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>, 1</w:t>
      </w:r>
      <w:r w:rsidR="00BA10B3" w:rsidRPr="005949A7">
        <w:rPr>
          <w:rFonts w:asciiTheme="minorHAnsi" w:hAnsiTheme="minorHAnsi"/>
          <w:sz w:val="22"/>
          <w:szCs w:val="22"/>
          <w:lang w:val="sr-Cyrl-BA"/>
        </w:rPr>
        <w:t>3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>, 1</w:t>
      </w:r>
      <w:r w:rsidR="00BA10B3" w:rsidRPr="005949A7">
        <w:rPr>
          <w:rFonts w:asciiTheme="minorHAnsi" w:hAnsiTheme="minorHAnsi"/>
          <w:sz w:val="22"/>
          <w:szCs w:val="22"/>
          <w:lang w:val="sr-Cyrl-BA"/>
        </w:rPr>
        <w:t>4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>, 1</w:t>
      </w:r>
      <w:r w:rsidR="00BA10B3" w:rsidRPr="005949A7">
        <w:rPr>
          <w:rFonts w:asciiTheme="minorHAnsi" w:hAnsiTheme="minorHAnsi"/>
          <w:sz w:val="22"/>
          <w:szCs w:val="22"/>
          <w:lang w:val="sr-Cyrl-CS"/>
        </w:rPr>
        <w:t>5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>, 1</w:t>
      </w:r>
      <w:r w:rsidR="00BA10B3" w:rsidRPr="005949A7">
        <w:rPr>
          <w:rFonts w:asciiTheme="minorHAnsi" w:hAnsiTheme="minorHAnsi"/>
          <w:sz w:val="22"/>
          <w:szCs w:val="22"/>
          <w:lang w:val="sr-Cyrl-CS"/>
        </w:rPr>
        <w:t>6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>, 1</w:t>
      </w:r>
      <w:r w:rsidR="00BA10B3" w:rsidRPr="005949A7">
        <w:rPr>
          <w:rFonts w:asciiTheme="minorHAnsi" w:hAnsiTheme="minorHAnsi"/>
          <w:sz w:val="22"/>
          <w:szCs w:val="22"/>
          <w:lang w:val="sr-Cyrl-CS"/>
        </w:rPr>
        <w:t>7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BA10B3" w:rsidRPr="005949A7">
        <w:rPr>
          <w:rFonts w:asciiTheme="minorHAnsi" w:hAnsiTheme="minorHAnsi"/>
          <w:sz w:val="22"/>
          <w:szCs w:val="22"/>
          <w:lang w:val="sr-Cyrl-CS"/>
        </w:rPr>
        <w:t>18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дат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преглед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закључених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рјешења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закључака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2015. </w:t>
      </w:r>
      <w:r>
        <w:rPr>
          <w:rFonts w:asciiTheme="minorHAnsi" w:hAnsiTheme="minorHAnsi"/>
          <w:sz w:val="22"/>
          <w:szCs w:val="22"/>
          <w:lang w:val="sr-Cyrl-BA"/>
        </w:rPr>
        <w:t>години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минералних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ресурса</w:t>
      </w:r>
      <w:r w:rsidR="009F35AA" w:rsidRPr="005949A7">
        <w:rPr>
          <w:rFonts w:asciiTheme="minorHAnsi" w:hAnsiTheme="minorHAnsi"/>
          <w:sz w:val="22"/>
          <w:szCs w:val="22"/>
          <w:lang w:val="sr-Cyrl-BA"/>
        </w:rPr>
        <w:t xml:space="preserve">. </w:t>
      </w:r>
    </w:p>
    <w:p w:rsidR="00571AC0" w:rsidRPr="005949A7" w:rsidRDefault="00571AC0" w:rsidP="009F35AA">
      <w:pPr>
        <w:tabs>
          <w:tab w:val="left" w:pos="1418"/>
        </w:tabs>
        <w:jc w:val="both"/>
        <w:rPr>
          <w:rFonts w:asciiTheme="minorHAnsi" w:hAnsiTheme="minorHAnsi"/>
          <w:b/>
          <w:sz w:val="22"/>
          <w:szCs w:val="22"/>
          <w:lang w:val="sr-Cyrl-BA"/>
        </w:rPr>
      </w:pPr>
    </w:p>
    <w:p w:rsidR="009F35AA" w:rsidRPr="005949A7" w:rsidRDefault="00DD65E6" w:rsidP="009F35AA">
      <w:pPr>
        <w:jc w:val="both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BA10B3" w:rsidRPr="005949A7">
        <w:rPr>
          <w:rFonts w:asciiTheme="minorHAnsi" w:hAnsiTheme="minorHAnsi"/>
          <w:b/>
          <w:sz w:val="22"/>
          <w:szCs w:val="22"/>
          <w:lang w:val="ru-RU"/>
        </w:rPr>
        <w:t>9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sr-Cyrl-CS"/>
        </w:rPr>
        <w:t>Преглед</w:t>
      </w:r>
      <w:r w:rsidR="009F35AA" w:rsidRPr="005949A7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закључених</w:t>
      </w:r>
      <w:r w:rsidR="009F35AA" w:rsidRPr="005949A7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Уговора</w:t>
      </w:r>
      <w:r w:rsidR="009F35AA" w:rsidRPr="005949A7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о</w:t>
      </w:r>
      <w:r w:rsidR="009F35AA" w:rsidRPr="005949A7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концесији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минералних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ресурса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9F35AA" w:rsidRPr="005949A7">
        <w:rPr>
          <w:rFonts w:asciiTheme="minorHAnsi" w:hAnsiTheme="minorHAnsi"/>
          <w:b/>
          <w:sz w:val="22"/>
          <w:szCs w:val="22"/>
          <w:lang w:val="sr-Latn-BA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93"/>
        <w:gridCol w:w="3265"/>
        <w:gridCol w:w="2126"/>
        <w:gridCol w:w="1498"/>
      </w:tblGrid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Концесионар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Бр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закључења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Уговора</w:t>
            </w:r>
          </w:p>
        </w:tc>
      </w:tr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</w:rPr>
            </w:pPr>
            <w:r w:rsidRPr="005949A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РУДНИК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БОКСИТА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СРЕБРЕНИЦА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“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д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Сребреница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Експлоатација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црвених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боксита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локација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Шумарница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“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и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Костури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“),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код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Сребренице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ru-RU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ru-RU"/>
              </w:rPr>
              <w:t>05.07/310-4-9/14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 w:cs="Calibri"/>
                <w:lang w:val="sr-Cyrl-BA"/>
              </w:rPr>
            </w:pPr>
          </w:p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  <w:r w:rsidRPr="005949A7">
              <w:rPr>
                <w:rFonts w:ascii="Calibri" w:hAnsi="Calibri"/>
                <w:sz w:val="22"/>
                <w:szCs w:val="22"/>
              </w:rPr>
              <w:t>10.02.2015</w:t>
            </w:r>
            <w:r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</w:p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ru-RU"/>
              </w:rPr>
            </w:pPr>
          </w:p>
        </w:tc>
      </w:tr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НИСКОГРАДЊА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д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Лакташи</w:t>
            </w:r>
          </w:p>
          <w:p w:rsidR="009F35AA" w:rsidRPr="005949A7" w:rsidRDefault="009F35AA" w:rsidP="00E37BA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Експлоатација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тех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грађ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камена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кречњака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локација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Пећник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“),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општ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Вукосавље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ind w:left="-42" w:right="-134"/>
              <w:jc w:val="center"/>
              <w:rPr>
                <w:rFonts w:asciiTheme="minorHAnsi" w:hAnsiTheme="minorHAnsi"/>
                <w:lang w:val="ru-RU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ru-RU"/>
              </w:rPr>
              <w:t>05.07/310-206-14/14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 w:cs="Calibri"/>
                <w:lang w:val="sr-Cyrl-BA"/>
              </w:rPr>
            </w:pPr>
          </w:p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  <w:r w:rsidRPr="005949A7">
              <w:rPr>
                <w:rFonts w:ascii="Calibri" w:hAnsi="Calibri"/>
                <w:sz w:val="22"/>
                <w:szCs w:val="22"/>
              </w:rPr>
              <w:t>13.02.2015</w:t>
            </w:r>
            <w:r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</w:p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ru-RU"/>
              </w:rPr>
            </w:pPr>
          </w:p>
        </w:tc>
      </w:tr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rPr>
                <w:rFonts w:asciiTheme="minorHAnsi" w:hAnsiTheme="minorHAnsi" w:cs="Calibr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ЈОСИПОВИЋ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д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Добој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Експлоатација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тех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грађ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камена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кречњака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локација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Осојница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“),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код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Добоја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ind w:left="-42" w:right="-134"/>
              <w:jc w:val="center"/>
              <w:rPr>
                <w:rFonts w:asciiTheme="minorHAnsi" w:hAnsiTheme="minorHAnsi"/>
                <w:lang w:val="ru-RU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ru-RU"/>
              </w:rPr>
              <w:t>05.07/310-320-5/14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  <w:r w:rsidRPr="005949A7">
              <w:rPr>
                <w:rFonts w:ascii="Calibri" w:hAnsi="Calibri"/>
                <w:sz w:val="22"/>
                <w:szCs w:val="22"/>
              </w:rPr>
              <w:t>27.02.2015</w:t>
            </w:r>
            <w:r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</w:p>
          <w:p w:rsidR="009F35AA" w:rsidRPr="005949A7" w:rsidRDefault="009F35AA" w:rsidP="00E37BA8">
            <w:pPr>
              <w:jc w:val="center"/>
              <w:rPr>
                <w:rFonts w:asciiTheme="minorHAnsi" w:hAnsiTheme="minorHAnsi" w:cs="Calibri"/>
                <w:lang w:val="sr-Cyrl-BA"/>
              </w:rPr>
            </w:pPr>
          </w:p>
        </w:tc>
      </w:tr>
      <w:tr w:rsidR="009F35AA" w:rsidRPr="005949A7" w:rsidTr="00E37BA8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ЦОМСАР</w:t>
            </w:r>
            <w:r w:rsidR="009F35AA" w:rsidRPr="005949A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ЕНЕРГ</w:t>
            </w:r>
            <w:r w:rsidR="009F35AA" w:rsidRPr="005949A7">
              <w:rPr>
                <w:rFonts w:ascii="Calibri" w:hAnsi="Calibri"/>
                <w:sz w:val="22"/>
                <w:szCs w:val="22"/>
              </w:rPr>
              <w:t xml:space="preserve">Y </w:t>
            </w:r>
            <w:r>
              <w:rPr>
                <w:rFonts w:ascii="Calibri" w:hAnsi="Calibri"/>
                <w:sz w:val="22"/>
                <w:szCs w:val="22"/>
              </w:rPr>
              <w:t>ХИДРО</w:t>
            </w:r>
            <w:r w:rsidR="009F35AA" w:rsidRPr="005949A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д</w:t>
            </w:r>
            <w:r w:rsidR="009F35AA" w:rsidRPr="005949A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Бања</w:t>
            </w:r>
            <w:r w:rsidR="009F35AA" w:rsidRPr="005949A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Лука</w:t>
            </w:r>
          </w:p>
          <w:p w:rsidR="009F35AA" w:rsidRPr="005949A7" w:rsidRDefault="009F35AA" w:rsidP="00E37BA8">
            <w:pPr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Default="00DD65E6" w:rsidP="00E37BA8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Експлоатација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тех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грађ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камена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кречњака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локација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Варде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“),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општ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Рудо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  <w:p w:rsidR="00B005BB" w:rsidRDefault="00B005BB" w:rsidP="00E37BA8">
            <w:pPr>
              <w:jc w:val="center"/>
              <w:rPr>
                <w:rFonts w:ascii="Calibri" w:hAnsi="Calibri"/>
                <w:lang w:val="sr-Cyrl-BA"/>
              </w:rPr>
            </w:pPr>
          </w:p>
          <w:p w:rsidR="00B005BB" w:rsidRPr="005949A7" w:rsidRDefault="00B005BB" w:rsidP="00E37BA8">
            <w:pPr>
              <w:jc w:val="center"/>
              <w:rPr>
                <w:rFonts w:asciiTheme="minorHAnsi" w:hAnsiTheme="minorHAnsi"/>
                <w:lang w:val="sr-Latn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ind w:left="-183" w:right="-134"/>
              <w:jc w:val="center"/>
              <w:rPr>
                <w:rFonts w:asciiTheme="minorHAnsi" w:hAnsiTheme="minorHAnsi"/>
                <w:lang w:val="ru-RU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ru-RU"/>
              </w:rPr>
              <w:t>05.07/310-14-9/15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 w:cs="Calibri"/>
                <w:lang w:val="sr-Cyrl-BA"/>
              </w:rPr>
            </w:pPr>
          </w:p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  <w:r w:rsidRPr="005949A7">
              <w:rPr>
                <w:rFonts w:ascii="Calibri" w:hAnsi="Calibri"/>
                <w:sz w:val="22"/>
                <w:szCs w:val="22"/>
              </w:rPr>
              <w:t>22.04.2015</w:t>
            </w:r>
            <w:r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</w:p>
          <w:p w:rsidR="009F35AA" w:rsidRDefault="009F35AA" w:rsidP="00E37BA8">
            <w:pPr>
              <w:jc w:val="center"/>
              <w:rPr>
                <w:rFonts w:asciiTheme="minorHAnsi" w:hAnsiTheme="minorHAnsi"/>
                <w:lang w:val="ru-RU"/>
              </w:rPr>
            </w:pPr>
          </w:p>
          <w:p w:rsidR="00CB4342" w:rsidRPr="005949A7" w:rsidRDefault="00CB4342" w:rsidP="00E37BA8">
            <w:pPr>
              <w:jc w:val="center"/>
              <w:rPr>
                <w:rFonts w:asciiTheme="minorHAnsi" w:hAnsiTheme="minorHAnsi"/>
                <w:lang w:val="ru-RU"/>
              </w:rPr>
            </w:pPr>
          </w:p>
        </w:tc>
      </w:tr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rPr>
                <w:rFonts w:asciiTheme="minorHAnsi" w:hAnsiTheme="minorHAnsi" w:cs="Calibr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ПРИЈЕДОРПУТЕВИ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д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Приједор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Default="00DD65E6" w:rsidP="00E37BA8">
            <w:pPr>
              <w:jc w:val="center"/>
              <w:rPr>
                <w:rFonts w:ascii="Calibri" w:hAnsi="Calibri"/>
                <w:sz w:val="22"/>
                <w:szCs w:val="22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Експлоатација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тех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грађ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камена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доломита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локација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Бекићи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“),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код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Новог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Града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  <w:p w:rsidR="00FB5B47" w:rsidRPr="005949A7" w:rsidRDefault="00FB5B47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ru-RU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ru-RU"/>
              </w:rPr>
              <w:t>05.07/310-227/15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</w:p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  <w:r w:rsidRPr="005949A7">
              <w:rPr>
                <w:rFonts w:ascii="Calibri" w:hAnsi="Calibri"/>
                <w:sz w:val="22"/>
                <w:szCs w:val="22"/>
              </w:rPr>
              <w:t>29.06.2015</w:t>
            </w:r>
            <w:r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</w:p>
          <w:p w:rsidR="009F35AA" w:rsidRPr="005949A7" w:rsidRDefault="009F35AA" w:rsidP="00E37BA8">
            <w:pPr>
              <w:jc w:val="center"/>
              <w:rPr>
                <w:rFonts w:asciiTheme="minorHAnsi" w:hAnsiTheme="minorHAnsi" w:cs="Calibri"/>
                <w:lang w:val="sr-Cyrl-BA"/>
              </w:rPr>
            </w:pPr>
          </w:p>
        </w:tc>
      </w:tr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НИСКОГРАДЊА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МАРЈАНОВИЋ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д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Приједор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Експлоатација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тех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грађ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камена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серпентинита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локација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Вранић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“)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код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Приједора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ind w:left="-108" w:right="-134"/>
              <w:jc w:val="center"/>
              <w:rPr>
                <w:rFonts w:asciiTheme="minorHAnsi" w:hAnsiTheme="minorHAnsi"/>
                <w:lang w:val="ru-RU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ru-RU"/>
              </w:rPr>
              <w:t>05.07/310-231/15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 w:cs="Calibri"/>
                <w:lang w:val="sr-Cyrl-BA"/>
              </w:rPr>
            </w:pPr>
          </w:p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  <w:r w:rsidRPr="005949A7">
              <w:rPr>
                <w:rFonts w:ascii="Calibri" w:hAnsi="Calibri"/>
                <w:sz w:val="22"/>
                <w:szCs w:val="22"/>
              </w:rPr>
              <w:t>30.06.2015</w:t>
            </w:r>
            <w:r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</w:p>
          <w:p w:rsidR="009F35AA" w:rsidRPr="005949A7" w:rsidRDefault="009F35AA" w:rsidP="00E37BA8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rPr>
                <w:rFonts w:asciiTheme="minorHAnsi" w:hAnsiTheme="minorHAns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ВИТИНКА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ЕКСПЛОАТАЦИЈА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д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Козлук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Зворник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Експлоатација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питке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воде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локација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Бањица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“),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општ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Милићи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ind w:right="-134"/>
              <w:jc w:val="center"/>
              <w:rPr>
                <w:rFonts w:asciiTheme="minorHAnsi" w:hAnsiTheme="minorHAnsi"/>
                <w:lang w:val="ru-RU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ru-RU"/>
              </w:rPr>
              <w:t>05.07/310-232/15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 w:cs="Calibri"/>
                <w:lang w:val="sr-Cyrl-BA"/>
              </w:rPr>
            </w:pPr>
          </w:p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  <w:r w:rsidRPr="005949A7">
              <w:rPr>
                <w:rFonts w:ascii="Calibri" w:hAnsi="Calibri"/>
                <w:sz w:val="22"/>
                <w:szCs w:val="22"/>
              </w:rPr>
              <w:t>02.07.2015</w:t>
            </w:r>
            <w:r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</w:p>
          <w:p w:rsidR="009F35AA" w:rsidRPr="005949A7" w:rsidRDefault="009F35AA" w:rsidP="00E37BA8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="Calibri" w:hAnsi="Calibri"/>
                <w:lang w:val="sr-Cyrl-BA"/>
              </w:rPr>
            </w:pPr>
          </w:p>
          <w:p w:rsidR="009F35AA" w:rsidRPr="005949A7" w:rsidRDefault="00DD65E6" w:rsidP="00E37BA8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</w:rPr>
              <w:t>ПОЛ</w:t>
            </w:r>
            <w:r w:rsidR="009F35AA" w:rsidRPr="005949A7"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ТЕХНИКА</w:t>
            </w:r>
            <w:r w:rsidR="009F35AA" w:rsidRPr="005949A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д</w:t>
            </w:r>
            <w:r w:rsidR="009F35AA" w:rsidRPr="005949A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Осмаци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Експлоатација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тех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грађ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камена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кречњака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локација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Рудник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“),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код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Осмака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ind w:right="-134"/>
              <w:jc w:val="center"/>
              <w:rPr>
                <w:rFonts w:asciiTheme="minorHAnsi" w:hAnsiTheme="minorHAnsi"/>
                <w:lang w:val="ru-RU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ru-RU"/>
              </w:rPr>
              <w:t>05.07/310-1/16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</w:p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  <w:r w:rsidRPr="005949A7">
              <w:rPr>
                <w:rFonts w:ascii="Calibri" w:hAnsi="Calibri"/>
                <w:sz w:val="22"/>
                <w:szCs w:val="22"/>
              </w:rPr>
              <w:t>20.11.2015</w:t>
            </w:r>
            <w:r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</w:p>
          <w:p w:rsidR="009F35AA" w:rsidRPr="005949A7" w:rsidRDefault="009F35AA" w:rsidP="00E37BA8">
            <w:pPr>
              <w:jc w:val="center"/>
              <w:rPr>
                <w:rFonts w:asciiTheme="minorHAnsi" w:hAnsiTheme="minorHAnsi" w:cs="Calibri"/>
                <w:lang w:val="sr-Cyrl-BA"/>
              </w:rPr>
            </w:pPr>
          </w:p>
        </w:tc>
      </w:tr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="Calibri" w:hAnsi="Calibri"/>
                <w:lang w:val="sr-Cyrl-BA"/>
              </w:rPr>
            </w:pPr>
          </w:p>
          <w:p w:rsidR="009F35AA" w:rsidRPr="005949A7" w:rsidRDefault="00DD65E6" w:rsidP="00E37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ДРОБЕ</w:t>
            </w:r>
            <w:r w:rsidR="009F35AA" w:rsidRPr="005949A7">
              <w:rPr>
                <w:rFonts w:ascii="Calibri" w:hAnsi="Calibri"/>
                <w:sz w:val="22"/>
                <w:szCs w:val="22"/>
              </w:rPr>
              <w:t xml:space="preserve">X </w:t>
            </w:r>
            <w:r>
              <w:rPr>
                <w:rFonts w:ascii="Calibri" w:hAnsi="Calibri"/>
                <w:sz w:val="22"/>
                <w:szCs w:val="22"/>
              </w:rPr>
              <w:t>д</w:t>
            </w:r>
            <w:r w:rsidR="009F35AA" w:rsidRPr="005949A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Берковићи</w:t>
            </w:r>
          </w:p>
          <w:p w:rsidR="009F35AA" w:rsidRPr="005949A7" w:rsidRDefault="009F35AA" w:rsidP="00E37BA8">
            <w:pPr>
              <w:rPr>
                <w:rFonts w:ascii="Calibri" w:hAnsi="Calibri"/>
                <w:lang w:val="sr-Cyrl-B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Експлоатација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изворске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воде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локација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Прибитув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“),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општина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Берковићи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ind w:right="-134"/>
              <w:jc w:val="center"/>
              <w:rPr>
                <w:rFonts w:asciiTheme="minorHAnsi" w:hAnsiTheme="minorHAnsi"/>
                <w:lang w:val="ru-RU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ru-RU"/>
              </w:rPr>
              <w:t>12.07.337-270/14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</w:p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  <w:r w:rsidRPr="005949A7">
              <w:rPr>
                <w:rFonts w:ascii="Calibri" w:hAnsi="Calibri"/>
                <w:sz w:val="22"/>
                <w:szCs w:val="22"/>
              </w:rPr>
              <w:t>22.12.2015</w:t>
            </w:r>
            <w:r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</w:p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</w:p>
        </w:tc>
      </w:tr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10.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="Calibri" w:hAnsi="Calibri"/>
                <w:lang w:val="sr-Cyrl-BA"/>
              </w:rPr>
            </w:pPr>
          </w:p>
          <w:p w:rsidR="009F35AA" w:rsidRPr="005949A7" w:rsidRDefault="00DD65E6" w:rsidP="00E37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САРАЈЕВОИНВЕСТ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д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Пале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  <w:p w:rsidR="009F35AA" w:rsidRPr="005949A7" w:rsidRDefault="009F35AA" w:rsidP="00E37BA8">
            <w:pPr>
              <w:rPr>
                <w:rFonts w:ascii="Calibri" w:hAnsi="Calibri"/>
                <w:lang w:val="sr-Cyrl-B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Експлоатација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тех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грађ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камена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кречњака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локација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Хан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Дервента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“),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општ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Источни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Стари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Град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ind w:right="-134"/>
              <w:jc w:val="center"/>
              <w:rPr>
                <w:rFonts w:asciiTheme="minorHAnsi" w:hAnsiTheme="minorHAnsi"/>
                <w:lang w:val="ru-RU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ru-RU"/>
              </w:rPr>
              <w:t>05.07/310-236-7/15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</w:p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  <w:r w:rsidRPr="005949A7">
              <w:rPr>
                <w:rFonts w:ascii="Calibri" w:hAnsi="Calibri"/>
                <w:sz w:val="22"/>
                <w:szCs w:val="22"/>
              </w:rPr>
              <w:t>20.11.2015</w:t>
            </w:r>
            <w:r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</w:p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</w:p>
        </w:tc>
      </w:tr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="Calibri" w:hAnsi="Calibri"/>
                <w:lang w:val="sr-Cyrl-BA"/>
              </w:rPr>
            </w:pPr>
          </w:p>
          <w:p w:rsidR="009F35AA" w:rsidRPr="005949A7" w:rsidRDefault="00DD65E6" w:rsidP="00E37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БРАЋА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ЂЕЛИЋ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д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Тобут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Лопаре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  <w:p w:rsidR="009F35AA" w:rsidRPr="005949A7" w:rsidRDefault="009F35AA" w:rsidP="00E37BA8">
            <w:pPr>
              <w:rPr>
                <w:rFonts w:ascii="Calibri" w:hAnsi="Calibri"/>
                <w:lang w:val="sr-Cyrl-B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Експлоатација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тех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грађ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камена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кречњака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локација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„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Мићино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брдо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Мијатовац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),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општ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Лопаре</w:t>
            </w:r>
            <w:r w:rsidR="009F35AA" w:rsidRPr="005949A7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ind w:right="-134"/>
              <w:jc w:val="center"/>
              <w:rPr>
                <w:rFonts w:asciiTheme="minorHAnsi" w:hAnsiTheme="minorHAnsi"/>
                <w:lang w:val="ru-RU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ru-RU"/>
              </w:rPr>
              <w:t>05.07/310-10-15/15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</w:p>
          <w:p w:rsidR="009F35AA" w:rsidRPr="005949A7" w:rsidRDefault="009F35AA" w:rsidP="00E37BA8">
            <w:pPr>
              <w:jc w:val="center"/>
              <w:rPr>
                <w:rFonts w:ascii="Calibri" w:hAnsi="Calibri"/>
                <w:lang w:val="sr-Cyrl-BA"/>
              </w:rPr>
            </w:pPr>
            <w:r w:rsidRPr="005949A7">
              <w:rPr>
                <w:rFonts w:ascii="Calibri" w:hAnsi="Calibri"/>
                <w:sz w:val="22"/>
                <w:szCs w:val="22"/>
              </w:rPr>
              <w:t>20.11.2015</w:t>
            </w:r>
            <w:r w:rsidRPr="005949A7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</w:p>
          <w:p w:rsidR="009F35AA" w:rsidRPr="005949A7" w:rsidRDefault="009F35AA" w:rsidP="00E37BA8">
            <w:pPr>
              <w:jc w:val="center"/>
              <w:rPr>
                <w:rFonts w:ascii="Calibri" w:hAnsi="Calibri"/>
              </w:rPr>
            </w:pPr>
          </w:p>
        </w:tc>
      </w:tr>
    </w:tbl>
    <w:p w:rsidR="009F35AA" w:rsidRPr="005949A7" w:rsidRDefault="00DD65E6" w:rsidP="009F35AA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Укупно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је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закључено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11 (</w:t>
      </w:r>
      <w:r>
        <w:rPr>
          <w:rFonts w:asciiTheme="minorHAnsi" w:hAnsiTheme="minorHAnsi" w:cs="Calibri"/>
          <w:sz w:val="22"/>
          <w:szCs w:val="22"/>
          <w:lang w:val="sr-Cyrl-CS"/>
        </w:rPr>
        <w:t>једанаест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) </w:t>
      </w:r>
      <w:r>
        <w:rPr>
          <w:rFonts w:asciiTheme="minorHAnsi" w:hAnsiTheme="minorHAnsi" w:cs="Calibri"/>
          <w:sz w:val="22"/>
          <w:szCs w:val="22"/>
          <w:lang w:val="sr-Cyrl-CS"/>
        </w:rPr>
        <w:t>Уговора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концесији</w:t>
      </w:r>
      <w:r w:rsidR="00944E08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</w:t>
      </w:r>
      <w:r w:rsidR="00944E08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области</w:t>
      </w:r>
      <w:r w:rsidR="00B911D8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минералних</w:t>
      </w:r>
      <w:r w:rsidR="00B911D8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ресурса</w:t>
      </w:r>
      <w:r w:rsidR="00944E08" w:rsidRPr="005949A7">
        <w:rPr>
          <w:rFonts w:asciiTheme="minorHAnsi" w:hAnsiTheme="minorHAnsi" w:cs="Calibri"/>
          <w:sz w:val="22"/>
          <w:szCs w:val="22"/>
          <w:lang w:val="sr-Cyrl-CS"/>
        </w:rPr>
        <w:t>.</w:t>
      </w:r>
    </w:p>
    <w:p w:rsidR="00571AC0" w:rsidRPr="005949A7" w:rsidRDefault="00571AC0" w:rsidP="009F35AA">
      <w:pPr>
        <w:rPr>
          <w:rFonts w:asciiTheme="minorHAnsi" w:hAnsiTheme="minorHAnsi"/>
          <w:sz w:val="22"/>
          <w:szCs w:val="22"/>
          <w:lang w:val="sr-Cyrl-CS"/>
        </w:rPr>
      </w:pPr>
    </w:p>
    <w:p w:rsidR="009F35AA" w:rsidRPr="005949A7" w:rsidRDefault="00DD65E6" w:rsidP="009F35AA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BA10B3" w:rsidRPr="005949A7">
        <w:rPr>
          <w:rFonts w:asciiTheme="minorHAnsi" w:hAnsiTheme="minorHAnsi"/>
          <w:b/>
          <w:sz w:val="22"/>
          <w:szCs w:val="22"/>
          <w:lang w:val="ru-RU"/>
        </w:rPr>
        <w:t>10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давању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сагласности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на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Студије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економске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оправданости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минералних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ресурса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26"/>
        <w:gridCol w:w="2596"/>
        <w:gridCol w:w="1935"/>
        <w:gridCol w:w="1758"/>
      </w:tblGrid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Студија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економске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оправданости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додјелу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концесије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техничког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грађевинског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Одобрена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Студија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Рудник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код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Осмака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16.04.2015.</w:t>
            </w:r>
          </w:p>
        </w:tc>
      </w:tr>
    </w:tbl>
    <w:p w:rsidR="009F35AA" w:rsidRPr="00665C1D" w:rsidRDefault="00DD65E6" w:rsidP="009F35AA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ru-RU"/>
        </w:rPr>
        <w:t>Укупно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је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дата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1 (</w:t>
      </w:r>
      <w:r>
        <w:rPr>
          <w:rFonts w:asciiTheme="minorHAnsi" w:hAnsiTheme="minorHAnsi"/>
          <w:sz w:val="22"/>
          <w:szCs w:val="22"/>
          <w:lang w:val="ru-RU"/>
        </w:rPr>
        <w:t>једна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) </w:t>
      </w:r>
      <w:r>
        <w:rPr>
          <w:rFonts w:asciiTheme="minorHAnsi" w:hAnsiTheme="minorHAnsi"/>
          <w:sz w:val="22"/>
          <w:szCs w:val="22"/>
          <w:lang w:val="ru-RU"/>
        </w:rPr>
        <w:t>сагласност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</w:t>
      </w:r>
      <w:r w:rsidR="009F35AA" w:rsidRPr="005949A7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Студију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економске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оправданости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минералних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ресурса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>.</w:t>
      </w:r>
    </w:p>
    <w:p w:rsidR="009F35AA" w:rsidRPr="005949A7" w:rsidRDefault="009F35AA" w:rsidP="009F35AA">
      <w:pPr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:rsidR="009F35AA" w:rsidRPr="005949A7" w:rsidRDefault="00DD65E6" w:rsidP="009F35AA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BA10B3" w:rsidRPr="005949A7">
        <w:rPr>
          <w:rFonts w:asciiTheme="minorHAnsi" w:hAnsiTheme="minorHAnsi"/>
          <w:b/>
          <w:sz w:val="22"/>
          <w:szCs w:val="22"/>
          <w:lang w:val="ru-RU"/>
        </w:rPr>
        <w:t xml:space="preserve"> 11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одобравању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Јавног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позива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додјелу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концесија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минералних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ресурса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201</w:t>
      </w:r>
      <w:r w:rsidR="009F35AA" w:rsidRPr="005949A7">
        <w:rPr>
          <w:rFonts w:asciiTheme="minorHAnsi" w:hAnsiTheme="minorHAnsi"/>
          <w:b/>
          <w:sz w:val="22"/>
          <w:szCs w:val="22"/>
        </w:rPr>
        <w:t>5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53"/>
        <w:gridCol w:w="2376"/>
        <w:gridCol w:w="2397"/>
        <w:gridCol w:w="1689"/>
      </w:tblGrid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позив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додјелу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концесије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кречњака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Одобрен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позив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Рудник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код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Осмака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02.07.2015.</w:t>
            </w:r>
          </w:p>
        </w:tc>
      </w:tr>
    </w:tbl>
    <w:p w:rsidR="009F35AA" w:rsidRPr="005949A7" w:rsidRDefault="00DD65E6" w:rsidP="009F35AA">
      <w:p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Укупно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је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дата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1 (</w:t>
      </w:r>
      <w:r>
        <w:rPr>
          <w:rFonts w:asciiTheme="minorHAnsi" w:hAnsiTheme="minorHAnsi"/>
          <w:sz w:val="22"/>
          <w:szCs w:val="22"/>
          <w:lang w:val="ru-RU"/>
        </w:rPr>
        <w:t>једна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) </w:t>
      </w:r>
      <w:r>
        <w:rPr>
          <w:rFonts w:asciiTheme="minorHAnsi" w:hAnsiTheme="minorHAnsi"/>
          <w:sz w:val="22"/>
          <w:szCs w:val="22"/>
          <w:lang w:val="ru-RU"/>
        </w:rPr>
        <w:t>сагласност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Јавни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позив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за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додјелу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концесија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из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области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минералних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ресурса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9F35AA" w:rsidRDefault="009F35AA" w:rsidP="009F35AA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FB5B47" w:rsidRDefault="00FB5B47" w:rsidP="009F35AA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FB5B47" w:rsidRDefault="00FB5B47" w:rsidP="009F35AA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FB5B47" w:rsidRDefault="00FB5B47" w:rsidP="009F35AA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9F35AA" w:rsidRPr="0031227E" w:rsidRDefault="00DD65E6" w:rsidP="00FB5B47">
      <w:pPr>
        <w:pStyle w:val="NoSpacing"/>
        <w:rPr>
          <w:rFonts w:asciiTheme="minorHAnsi" w:hAnsiTheme="minorHAnsi"/>
          <w:b/>
          <w:sz w:val="22"/>
          <w:szCs w:val="22"/>
          <w:lang w:val="ru-RU"/>
        </w:rPr>
      </w:pPr>
      <w:r w:rsidRPr="0031227E"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BA10B3" w:rsidRPr="0031227E">
        <w:rPr>
          <w:rFonts w:asciiTheme="minorHAnsi" w:hAnsiTheme="minorHAnsi"/>
          <w:b/>
          <w:sz w:val="22"/>
          <w:szCs w:val="22"/>
          <w:lang w:val="ru-RU"/>
        </w:rPr>
        <w:t xml:space="preserve"> 12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 w:rsidRPr="0031227E"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31227E"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31227E">
        <w:rPr>
          <w:rFonts w:asciiTheme="minorHAnsi" w:hAnsiTheme="minorHAnsi"/>
          <w:b/>
          <w:sz w:val="22"/>
          <w:szCs w:val="22"/>
          <w:lang w:val="ru-RU"/>
        </w:rPr>
        <w:t>о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31227E">
        <w:rPr>
          <w:rFonts w:asciiTheme="minorHAnsi" w:hAnsiTheme="minorHAnsi"/>
          <w:b/>
          <w:sz w:val="22"/>
          <w:szCs w:val="22"/>
          <w:lang w:val="ru-RU"/>
        </w:rPr>
        <w:t>давању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31227E">
        <w:rPr>
          <w:rFonts w:asciiTheme="minorHAnsi" w:hAnsiTheme="minorHAnsi"/>
          <w:b/>
          <w:sz w:val="22"/>
          <w:szCs w:val="22"/>
          <w:lang w:val="ru-RU"/>
        </w:rPr>
        <w:t>сагласности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31227E">
        <w:rPr>
          <w:rFonts w:asciiTheme="minorHAnsi" w:hAnsiTheme="minorHAnsi"/>
          <w:b/>
          <w:sz w:val="22"/>
          <w:szCs w:val="22"/>
          <w:lang w:val="ru-RU"/>
        </w:rPr>
        <w:t>на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31227E">
        <w:rPr>
          <w:rFonts w:asciiTheme="minorHAnsi" w:hAnsiTheme="minorHAnsi"/>
          <w:b/>
          <w:sz w:val="22"/>
          <w:szCs w:val="22"/>
          <w:lang w:val="ru-RU"/>
        </w:rPr>
        <w:t>документацију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31227E">
        <w:rPr>
          <w:rFonts w:asciiTheme="minorHAnsi" w:hAnsiTheme="minorHAnsi"/>
          <w:b/>
          <w:sz w:val="22"/>
          <w:szCs w:val="22"/>
          <w:lang w:val="ru-RU"/>
        </w:rPr>
        <w:t>за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31227E">
        <w:rPr>
          <w:rFonts w:asciiTheme="minorHAnsi" w:hAnsiTheme="minorHAnsi"/>
          <w:b/>
          <w:sz w:val="22"/>
          <w:szCs w:val="22"/>
          <w:lang w:val="ru-RU"/>
        </w:rPr>
        <w:t>јавно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31227E">
        <w:rPr>
          <w:rFonts w:asciiTheme="minorHAnsi" w:hAnsiTheme="minorHAnsi"/>
          <w:b/>
          <w:sz w:val="22"/>
          <w:szCs w:val="22"/>
          <w:lang w:val="ru-RU"/>
        </w:rPr>
        <w:t>надметање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31227E">
        <w:rPr>
          <w:rFonts w:asciiTheme="minorHAnsi" w:hAnsiTheme="minorHAnsi"/>
          <w:b/>
          <w:sz w:val="22"/>
          <w:szCs w:val="22"/>
          <w:lang w:val="ru-RU"/>
        </w:rPr>
        <w:t>из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31227E"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31227E">
        <w:rPr>
          <w:rFonts w:asciiTheme="minorHAnsi" w:hAnsiTheme="minorHAnsi"/>
          <w:b/>
          <w:sz w:val="22"/>
          <w:szCs w:val="22"/>
          <w:lang w:val="ru-RU"/>
        </w:rPr>
        <w:t>минералних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31227E">
        <w:rPr>
          <w:rFonts w:asciiTheme="minorHAnsi" w:hAnsiTheme="minorHAnsi"/>
          <w:b/>
          <w:sz w:val="22"/>
          <w:szCs w:val="22"/>
          <w:lang w:val="ru-RU"/>
        </w:rPr>
        <w:t>ресурса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31227E">
        <w:rPr>
          <w:rFonts w:asciiTheme="minorHAnsi" w:hAnsiTheme="minorHAnsi"/>
          <w:b/>
          <w:sz w:val="22"/>
          <w:szCs w:val="22"/>
          <w:lang w:val="ru-RU"/>
        </w:rPr>
        <w:t>у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 xml:space="preserve"> 2015. </w:t>
      </w:r>
      <w:r w:rsidRPr="0031227E"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9F35AA" w:rsidRPr="0031227E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26"/>
        <w:gridCol w:w="2596"/>
        <w:gridCol w:w="1935"/>
        <w:gridCol w:w="1758"/>
      </w:tblGrid>
      <w:tr w:rsidR="009F35AA" w:rsidRPr="005949A7" w:rsidTr="00E37BA8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9F35AA" w:rsidRPr="005949A7" w:rsidTr="00E37BA8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документацију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надметање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665C1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серпентинита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Вранић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“,</w:t>
            </w:r>
          </w:p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код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Приједора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</w:p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17.02.2015.</w:t>
            </w:r>
          </w:p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9F35AA" w:rsidRPr="005949A7" w:rsidTr="00E37BA8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документацију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надметање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665C1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Горња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Грапска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код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Добоја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05.03.2015.</w:t>
            </w:r>
          </w:p>
        </w:tc>
      </w:tr>
      <w:tr w:rsidR="009F35AA" w:rsidRPr="005949A7" w:rsidTr="00E37BA8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документацију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надметање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665C1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Хан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Дервента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Источни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Стари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Град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12.05.2015.</w:t>
            </w:r>
          </w:p>
        </w:tc>
      </w:tr>
      <w:tr w:rsidR="009F35AA" w:rsidRPr="005949A7" w:rsidTr="00E37BA8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документацију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надметање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665C1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серпентинита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Дуга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Коса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Станари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19.05.2015.</w:t>
            </w:r>
          </w:p>
        </w:tc>
      </w:tr>
      <w:tr w:rsidR="009F35AA" w:rsidRPr="005949A7" w:rsidTr="00E37BA8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документацију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надметање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665C1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Мићино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брдо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Мијатовац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Лопаре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02.07.2015.</w:t>
            </w:r>
          </w:p>
        </w:tc>
      </w:tr>
      <w:tr w:rsidR="009F35AA" w:rsidRPr="005949A7" w:rsidTr="00E37BA8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документацију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надметање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керамичких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опекарских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глина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Црна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Долина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код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Приједора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09.07.2015.</w:t>
            </w:r>
          </w:p>
        </w:tc>
      </w:tr>
      <w:tr w:rsidR="009F35AA" w:rsidRPr="005949A7" w:rsidTr="00E37BA8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документацију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надметање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665C1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Месићи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Рогатица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25.08.2015.</w:t>
            </w:r>
          </w:p>
        </w:tc>
      </w:tr>
      <w:tr w:rsidR="009F35AA" w:rsidRPr="005949A7" w:rsidTr="00E37BA8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документацију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надметање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истраживање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угља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лигнита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Бистрица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код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Приједора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23.09.2015.</w:t>
            </w:r>
          </w:p>
        </w:tc>
      </w:tr>
      <w:tr w:rsidR="009F35AA" w:rsidRPr="005949A7" w:rsidTr="00E37BA8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документацију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надметање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665C1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Баљак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Угљевик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03.11.2015.</w:t>
            </w:r>
          </w:p>
        </w:tc>
      </w:tr>
    </w:tbl>
    <w:p w:rsidR="009F35AA" w:rsidRPr="005949A7" w:rsidRDefault="00DD65E6" w:rsidP="009F35AA">
      <w:pPr>
        <w:jc w:val="both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ru-RU"/>
        </w:rPr>
        <w:t>Укупно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је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дато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9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>(</w:t>
      </w:r>
      <w:r>
        <w:rPr>
          <w:rFonts w:asciiTheme="minorHAnsi" w:hAnsiTheme="minorHAnsi"/>
          <w:sz w:val="22"/>
          <w:szCs w:val="22"/>
          <w:lang w:val="ru-RU"/>
        </w:rPr>
        <w:t>девет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) </w:t>
      </w:r>
      <w:r>
        <w:rPr>
          <w:rFonts w:asciiTheme="minorHAnsi" w:hAnsiTheme="minorHAnsi"/>
          <w:sz w:val="22"/>
          <w:szCs w:val="22"/>
          <w:lang w:val="ru-RU"/>
        </w:rPr>
        <w:t>сагласности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документацију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за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јавно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надметање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из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области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минералних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ресурса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>.</w:t>
      </w:r>
    </w:p>
    <w:p w:rsidR="00C37ECE" w:rsidRDefault="00C37ECE" w:rsidP="009F35AA">
      <w:pPr>
        <w:jc w:val="both"/>
        <w:rPr>
          <w:rFonts w:asciiTheme="minorHAnsi" w:hAnsiTheme="minorHAnsi"/>
          <w:b/>
          <w:sz w:val="22"/>
          <w:szCs w:val="22"/>
          <w:lang w:val="sr-Cyrl-BA"/>
        </w:rPr>
      </w:pPr>
    </w:p>
    <w:p w:rsidR="009F35AA" w:rsidRPr="005949A7" w:rsidRDefault="00DD65E6" w:rsidP="009F35AA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BA10B3" w:rsidRPr="005949A7">
        <w:rPr>
          <w:rFonts w:asciiTheme="minorHAnsi" w:hAnsiTheme="minorHAnsi"/>
          <w:b/>
          <w:sz w:val="22"/>
          <w:szCs w:val="22"/>
          <w:lang w:val="ru-RU"/>
        </w:rPr>
        <w:t xml:space="preserve"> 13</w:t>
      </w:r>
      <w:r w:rsidR="00665C1D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давању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сагласности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вођење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преговора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понуђачима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минералних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ресурса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201</w:t>
      </w:r>
      <w:r w:rsidR="009F35AA" w:rsidRPr="005949A7">
        <w:rPr>
          <w:rFonts w:asciiTheme="minorHAnsi" w:hAnsiTheme="minorHAnsi"/>
          <w:b/>
          <w:sz w:val="22"/>
          <w:szCs w:val="22"/>
        </w:rPr>
        <w:t>5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48"/>
        <w:gridCol w:w="2474"/>
        <w:gridCol w:w="1935"/>
        <w:gridCol w:w="1758"/>
      </w:tblGrid>
      <w:tr w:rsidR="009F35AA" w:rsidRPr="005949A7" w:rsidTr="00FB5B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9F35AA" w:rsidRPr="005949A7" w:rsidTr="00FB5B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FB5B47" w:rsidRDefault="00DD65E6" w:rsidP="00FB5B4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Давање</w:t>
            </w:r>
            <w:r w:rsidR="00FB5B4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овлаштења</w:t>
            </w:r>
            <w:r w:rsidR="00FB5B4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</w:t>
            </w:r>
            <w:r w:rsidR="00FB5B4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вођење</w:t>
            </w:r>
            <w:r w:rsidR="00FB5B4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преговора</w:t>
            </w:r>
            <w:r w:rsidR="00FB5B4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</w:t>
            </w:r>
            <w:r w:rsidR="00FB5B4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понуђачем</w:t>
            </w:r>
            <w:r w:rsidR="00FB5B4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ИГМ</w:t>
            </w:r>
            <w:r w:rsidR="00FB5B4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ДРИНА</w:t>
            </w:r>
            <w:r w:rsidR="00FB5B4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</w:t>
            </w:r>
            <w:r w:rsidR="00FB5B47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</w:t>
            </w:r>
            <w:r w:rsidR="00FB5B47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Бијељина</w:t>
            </w:r>
            <w:r w:rsidR="009F35AA" w:rsidRPr="00FB5B4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</w:t>
            </w:r>
            <w:r w:rsidR="00FB5B47" w:rsidRPr="00FB5B4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експ</w:t>
            </w:r>
            <w:r w:rsidR="00FB5B47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опекарских</w:t>
            </w:r>
            <w:r w:rsidR="00FB5B4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глина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вођење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преговора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Обријеж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код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Бијељине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04.11.2015.</w:t>
            </w:r>
          </w:p>
        </w:tc>
      </w:tr>
      <w:tr w:rsidR="009F35AA" w:rsidRPr="005949A7" w:rsidTr="00FB5B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Давање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овлаштења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вођење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преговора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понуђачем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КОЗАРАПУТЕВИ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Бања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Лука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665C1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вођење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преговора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Љубачево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Бања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Лука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05.11.2015.</w:t>
            </w:r>
          </w:p>
        </w:tc>
      </w:tr>
    </w:tbl>
    <w:p w:rsidR="009F35AA" w:rsidRPr="005949A7" w:rsidRDefault="00DD65E6" w:rsidP="009F35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CS"/>
        </w:rPr>
        <w:t>Укупно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донесена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2 (</w:t>
      </w:r>
      <w:r>
        <w:rPr>
          <w:rFonts w:asciiTheme="minorHAnsi" w:hAnsiTheme="minorHAnsi"/>
          <w:sz w:val="22"/>
          <w:szCs w:val="22"/>
          <w:lang w:val="sr-Cyrl-CS"/>
        </w:rPr>
        <w:t>два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) </w:t>
      </w:r>
      <w:r>
        <w:rPr>
          <w:rFonts w:asciiTheme="minorHAnsi" w:hAnsiTheme="minorHAnsi"/>
          <w:sz w:val="22"/>
          <w:szCs w:val="22"/>
          <w:lang w:val="sr-Cyrl-CS"/>
        </w:rPr>
        <w:t>Рјешења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којима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даје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овлаштење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вођење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преговора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понуђачима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минералних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ресурса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>.</w:t>
      </w:r>
    </w:p>
    <w:p w:rsidR="009F35AA" w:rsidRDefault="009F35AA" w:rsidP="009F35AA">
      <w:pPr>
        <w:jc w:val="both"/>
        <w:rPr>
          <w:rFonts w:asciiTheme="minorHAnsi" w:hAnsiTheme="minorHAnsi"/>
          <w:sz w:val="22"/>
          <w:szCs w:val="22"/>
        </w:rPr>
      </w:pPr>
    </w:p>
    <w:p w:rsidR="006724B2" w:rsidRDefault="006724B2" w:rsidP="009F35AA">
      <w:pPr>
        <w:jc w:val="both"/>
        <w:rPr>
          <w:rFonts w:asciiTheme="minorHAnsi" w:hAnsiTheme="minorHAnsi"/>
          <w:sz w:val="22"/>
          <w:szCs w:val="22"/>
        </w:rPr>
      </w:pPr>
    </w:p>
    <w:p w:rsidR="006724B2" w:rsidRDefault="006724B2" w:rsidP="009F35AA">
      <w:pPr>
        <w:jc w:val="both"/>
        <w:rPr>
          <w:rFonts w:asciiTheme="minorHAnsi" w:hAnsiTheme="minorHAnsi"/>
          <w:sz w:val="22"/>
          <w:szCs w:val="22"/>
        </w:rPr>
      </w:pPr>
    </w:p>
    <w:p w:rsidR="006724B2" w:rsidRPr="006724B2" w:rsidRDefault="006724B2" w:rsidP="009F35AA">
      <w:pPr>
        <w:jc w:val="both"/>
        <w:rPr>
          <w:rFonts w:asciiTheme="minorHAnsi" w:hAnsiTheme="minorHAnsi"/>
          <w:sz w:val="22"/>
          <w:szCs w:val="22"/>
        </w:rPr>
      </w:pPr>
    </w:p>
    <w:p w:rsidR="00380142" w:rsidRDefault="00380142" w:rsidP="009F35AA">
      <w:pPr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9F35AA" w:rsidRPr="005949A7" w:rsidRDefault="00DD65E6" w:rsidP="009F35AA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lastRenderedPageBreak/>
        <w:t>Табела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BA10B3" w:rsidRPr="005949A7">
        <w:rPr>
          <w:rFonts w:asciiTheme="minorHAnsi" w:hAnsiTheme="minorHAnsi"/>
          <w:b/>
          <w:sz w:val="22"/>
          <w:szCs w:val="22"/>
          <w:lang w:val="ru-RU"/>
        </w:rPr>
        <w:t>14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Закључци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којима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одбацују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понуде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пристигле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на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Јавни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позив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минералних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ресурса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26"/>
        <w:gridCol w:w="2596"/>
        <w:gridCol w:w="1935"/>
        <w:gridCol w:w="1758"/>
      </w:tblGrid>
      <w:tr w:rsidR="009F35AA" w:rsidRPr="005949A7" w:rsidTr="00E37BA8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Закључака</w:t>
            </w:r>
          </w:p>
        </w:tc>
      </w:tr>
      <w:tr w:rsidR="009F35AA" w:rsidRPr="005949A7" w:rsidTr="00E37BA8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rPr>
                <w:rFonts w:asciiTheme="minorHAnsi" w:hAnsiTheme="minorHAnsi"/>
                <w:lang w:val="sr-Latn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Понуда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позив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додјелу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концесије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77589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Горња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Грапска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код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Добоја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Одбацује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понуда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позив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понуђача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привредног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друштва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РКГ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Рудник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Горња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Грапска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због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неблаговремености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достављања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понуде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Горња</w:t>
            </w:r>
            <w:r w:rsidR="0077589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Грапска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код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Добоја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21.05.2015.</w:t>
            </w:r>
          </w:p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</w:tbl>
    <w:p w:rsidR="009F35AA" w:rsidRDefault="00DD65E6" w:rsidP="009F35AA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ru-RU"/>
        </w:rPr>
        <w:t>Укупно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је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донесен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1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>(</w:t>
      </w:r>
      <w:r>
        <w:rPr>
          <w:rFonts w:asciiTheme="minorHAnsi" w:hAnsiTheme="minorHAnsi"/>
          <w:sz w:val="22"/>
          <w:szCs w:val="22"/>
          <w:lang w:val="ru-RU"/>
        </w:rPr>
        <w:t>један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) </w:t>
      </w:r>
      <w:r>
        <w:rPr>
          <w:rFonts w:asciiTheme="minorHAnsi" w:hAnsiTheme="minorHAnsi"/>
          <w:sz w:val="22"/>
          <w:szCs w:val="22"/>
          <w:lang w:val="ru-RU"/>
        </w:rPr>
        <w:t>Закључак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Комисије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којим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одбацује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понуда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пристигла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Јавни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позив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минералних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ресурса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>.</w:t>
      </w:r>
    </w:p>
    <w:p w:rsidR="005346C2" w:rsidRDefault="005346C2" w:rsidP="009F35AA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380142" w:rsidRPr="005949A7" w:rsidRDefault="00380142" w:rsidP="009F35AA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9F35AA" w:rsidRPr="005346C2" w:rsidRDefault="00DD65E6" w:rsidP="005346C2">
      <w:pPr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BA10B3" w:rsidRPr="005346C2">
        <w:rPr>
          <w:rFonts w:asciiTheme="minorHAnsi" w:hAnsiTheme="minorHAnsi"/>
          <w:b/>
          <w:sz w:val="22"/>
          <w:szCs w:val="22"/>
          <w:lang w:val="ru-RU"/>
        </w:rPr>
        <w:t xml:space="preserve"> 15</w:t>
      </w:r>
      <w:r w:rsidR="0077589D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давању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сагласности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закључење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уговора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концесији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 xml:space="preserve">  </w:t>
      </w:r>
      <w:r>
        <w:rPr>
          <w:rFonts w:asciiTheme="minorHAnsi" w:hAnsiTheme="minorHAnsi"/>
          <w:b/>
          <w:sz w:val="22"/>
          <w:szCs w:val="22"/>
          <w:lang w:val="ru-RU"/>
        </w:rPr>
        <w:t>минералних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ресурса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9F35AA" w:rsidRPr="005346C2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520"/>
        <w:gridCol w:w="2732"/>
        <w:gridCol w:w="2188"/>
        <w:gridCol w:w="1861"/>
      </w:tblGrid>
      <w:tr w:rsidR="009F35AA" w:rsidRPr="005949A7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Концесионар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Датум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доношења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Рјешења</w:t>
            </w:r>
          </w:p>
        </w:tc>
      </w:tr>
      <w:tr w:rsidR="009F35AA" w:rsidRPr="005949A7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ПРИЈЕДОРПУТЕВИ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“</w:t>
            </w:r>
            <w:r w:rsidRPr="005949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Приједор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доломита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Бекићи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“),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код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Новог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16.04.2015.</w:t>
            </w:r>
          </w:p>
        </w:tc>
      </w:tr>
      <w:tr w:rsidR="009F35AA" w:rsidRPr="005949A7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ВИТИНКА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Козлук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питке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воде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Бањица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“),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Милићи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28.04.2015.</w:t>
            </w:r>
          </w:p>
        </w:tc>
      </w:tr>
      <w:tr w:rsidR="009F35AA" w:rsidRPr="005949A7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ПОЛ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>Y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ТЕХНИКА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Осмаци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C2" w:rsidRDefault="00DD65E6" w:rsidP="005346C2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Рудник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“),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код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Осмака</w:t>
            </w:r>
          </w:p>
          <w:p w:rsidR="005346C2" w:rsidRDefault="005346C2" w:rsidP="005346C2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5346C2" w:rsidRPr="005346C2" w:rsidRDefault="005346C2" w:rsidP="005346C2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04.11.2015.</w:t>
            </w:r>
          </w:p>
        </w:tc>
      </w:tr>
      <w:tr w:rsidR="009F35AA" w:rsidRPr="005949A7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КОЗАРАПУТЕВИ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Бања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Лука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77589D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Љубачево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“),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код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Бање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Луке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23.12.2015.</w:t>
            </w:r>
          </w:p>
        </w:tc>
      </w:tr>
    </w:tbl>
    <w:p w:rsidR="009F35AA" w:rsidRPr="005949A7" w:rsidRDefault="00DD65E6" w:rsidP="009F35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CS"/>
        </w:rPr>
        <w:t>Укупно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дате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4 (</w:t>
      </w:r>
      <w:r>
        <w:rPr>
          <w:rFonts w:asciiTheme="minorHAnsi" w:hAnsiTheme="minorHAnsi"/>
          <w:sz w:val="22"/>
          <w:szCs w:val="22"/>
          <w:lang w:val="sr-Cyrl-CS"/>
        </w:rPr>
        <w:t>четири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) </w:t>
      </w:r>
      <w:r>
        <w:rPr>
          <w:rFonts w:asciiTheme="minorHAnsi" w:hAnsiTheme="minorHAnsi"/>
          <w:sz w:val="22"/>
          <w:szCs w:val="22"/>
          <w:lang w:val="sr-Cyrl-CS"/>
        </w:rPr>
        <w:t>сагласности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закључење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концесији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из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области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 </w:t>
      </w:r>
      <w:r>
        <w:rPr>
          <w:rFonts w:asciiTheme="minorHAnsi" w:hAnsiTheme="minorHAnsi"/>
          <w:sz w:val="22"/>
          <w:szCs w:val="22"/>
          <w:lang w:val="ru-RU"/>
        </w:rPr>
        <w:t>минералних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ресурса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5346C2" w:rsidRDefault="005346C2" w:rsidP="009F35AA">
      <w:pPr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380142" w:rsidRDefault="00380142" w:rsidP="009F35AA">
      <w:pPr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9F35AA" w:rsidRPr="005949A7" w:rsidRDefault="00DD65E6" w:rsidP="009F35AA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BA10B3" w:rsidRPr="005949A7">
        <w:rPr>
          <w:rFonts w:asciiTheme="minorHAnsi" w:hAnsiTheme="minorHAnsi"/>
          <w:b/>
          <w:sz w:val="22"/>
          <w:szCs w:val="22"/>
          <w:lang w:val="ru-RU"/>
        </w:rPr>
        <w:t>16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давању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предходне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сагласности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на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Приједлог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уговора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концесији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 </w:t>
      </w:r>
      <w:r>
        <w:rPr>
          <w:rFonts w:asciiTheme="minorHAnsi" w:hAnsiTheme="minorHAnsi"/>
          <w:b/>
          <w:sz w:val="22"/>
          <w:szCs w:val="22"/>
          <w:lang w:val="ru-RU"/>
        </w:rPr>
        <w:t>минералних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ресурса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520"/>
        <w:gridCol w:w="2732"/>
        <w:gridCol w:w="2188"/>
        <w:gridCol w:w="1861"/>
      </w:tblGrid>
      <w:tr w:rsidR="009F35AA" w:rsidRPr="005949A7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Концесионар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9F35AA" w:rsidRPr="005949A7" w:rsidTr="007758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НИСКОГРАДЊА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Лакташи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9D" w:rsidRPr="0077589D" w:rsidRDefault="00DD65E6" w:rsidP="0077589D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77589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Пећник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Вукосавље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27.01.2015.</w:t>
            </w:r>
          </w:p>
        </w:tc>
      </w:tr>
      <w:tr w:rsidR="009F35AA" w:rsidRPr="005949A7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ЈОСИПОВИЋ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Добој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77589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Осојница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код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Добоја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17.02.2015.</w:t>
            </w:r>
          </w:p>
        </w:tc>
      </w:tr>
      <w:tr w:rsidR="009F35AA" w:rsidRPr="005949A7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ЦОМСАР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ЕНЕРГ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Y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ХИДРО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Бања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Лука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77589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Варде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Рудо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07.04.2015.</w:t>
            </w:r>
          </w:p>
        </w:tc>
      </w:tr>
      <w:tr w:rsidR="009F35AA" w:rsidRPr="005949A7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НИСКОГРАДЊА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-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МАРЈАНОВИЋ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Приједор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77589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серпентинита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Вранић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код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Приједора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18.06.2015.</w:t>
            </w:r>
          </w:p>
        </w:tc>
      </w:tr>
      <w:tr w:rsidR="009F35AA" w:rsidRPr="005949A7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БРАЋА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ЂЕЛИЋ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Тобут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-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Лопаре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Мићино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брдо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Мијатовац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код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Лопара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10.11.2015.</w:t>
            </w:r>
          </w:p>
        </w:tc>
      </w:tr>
      <w:tr w:rsidR="009F35AA" w:rsidRPr="005949A7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САРАЈЕВОИНВЕСТ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Пале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Хан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Дервента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Источни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Стари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10.11.2015.</w:t>
            </w:r>
          </w:p>
        </w:tc>
      </w:tr>
    </w:tbl>
    <w:p w:rsidR="009F35AA" w:rsidRPr="005949A7" w:rsidRDefault="00DD65E6" w:rsidP="009F35AA">
      <w:p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Укупно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је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дато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6 (</w:t>
      </w:r>
      <w:r>
        <w:rPr>
          <w:rFonts w:asciiTheme="minorHAnsi" w:hAnsiTheme="minorHAnsi" w:cs="Calibri"/>
          <w:sz w:val="22"/>
          <w:szCs w:val="22"/>
          <w:lang w:val="sr-Cyrl-CS"/>
        </w:rPr>
        <w:t>шест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) </w:t>
      </w:r>
      <w:r>
        <w:rPr>
          <w:rFonts w:asciiTheme="minorHAnsi" w:hAnsiTheme="minorHAnsi" w:cs="Calibri"/>
          <w:sz w:val="22"/>
          <w:szCs w:val="22"/>
          <w:lang w:val="sr-Cyrl-CS"/>
        </w:rPr>
        <w:t>Рјешења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давању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претходне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сагласности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Приједлог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концесији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из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области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 </w:t>
      </w:r>
      <w:r>
        <w:rPr>
          <w:rFonts w:asciiTheme="minorHAnsi" w:hAnsiTheme="minorHAnsi"/>
          <w:sz w:val="22"/>
          <w:szCs w:val="22"/>
          <w:lang w:val="ru-RU"/>
        </w:rPr>
        <w:t>минералних</w:t>
      </w:r>
      <w:r w:rsidR="009F35AA" w:rsidRPr="005949A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ресурса</w:t>
      </w:r>
      <w:r w:rsidR="00CE7911" w:rsidRPr="005949A7">
        <w:rPr>
          <w:rFonts w:asciiTheme="minorHAnsi" w:hAnsiTheme="minorHAnsi"/>
          <w:sz w:val="22"/>
          <w:szCs w:val="22"/>
          <w:lang w:val="ru-RU"/>
        </w:rPr>
        <w:t>.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EC06FE" w:rsidRDefault="00EC06FE" w:rsidP="009F35AA">
      <w:pPr>
        <w:jc w:val="both"/>
        <w:rPr>
          <w:rFonts w:asciiTheme="minorHAnsi" w:hAnsiTheme="minorHAnsi"/>
          <w:b/>
          <w:sz w:val="22"/>
          <w:szCs w:val="22"/>
        </w:rPr>
      </w:pPr>
    </w:p>
    <w:p w:rsidR="009F35AA" w:rsidRPr="005949A7" w:rsidRDefault="00DD65E6" w:rsidP="009F35AA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BA10B3" w:rsidRPr="005949A7">
        <w:rPr>
          <w:rFonts w:asciiTheme="minorHAnsi" w:hAnsiTheme="minorHAnsi"/>
          <w:b/>
          <w:sz w:val="22"/>
          <w:szCs w:val="22"/>
          <w:lang w:val="ru-RU"/>
        </w:rPr>
        <w:t>17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давању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сагласности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на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уступање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уговора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концесији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промјени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власничке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структуре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минералних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ресурса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201</w:t>
      </w:r>
      <w:r w:rsidR="009F35AA" w:rsidRPr="005949A7">
        <w:rPr>
          <w:rFonts w:asciiTheme="minorHAnsi" w:hAnsiTheme="minorHAnsi"/>
          <w:b/>
          <w:sz w:val="22"/>
          <w:szCs w:val="22"/>
        </w:rPr>
        <w:t>5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25"/>
        <w:gridCol w:w="2597"/>
        <w:gridCol w:w="1935"/>
        <w:gridCol w:w="1758"/>
      </w:tblGrid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Концесионар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Latn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КАМЕНИ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АГРЕГАТИ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Бања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Лука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Latn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Пренос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концесији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Швракава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Јасенов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привредно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друштво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агрегати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Видовић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Бања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Лука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пренос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07.04.2015.</w:t>
            </w:r>
          </w:p>
        </w:tc>
      </w:tr>
      <w:tr w:rsidR="009F35AA" w:rsidRPr="005949A7" w:rsidTr="00E37BA8">
        <w:trPr>
          <w:trHeight w:val="10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КАМЕНОЛОМ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КАРАБЕГОВАЦ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Добој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Пренос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100%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власничких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права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концесији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Карабеговац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досадашњег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концесионаровог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власника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привредног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друштва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Фабрика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Цемента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Лукавац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новог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стицаоца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власништва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привредно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друштво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Геокоп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Дервента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пренос</w:t>
            </w:r>
          </w:p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12.05.2015.</w:t>
            </w:r>
          </w:p>
        </w:tc>
      </w:tr>
    </w:tbl>
    <w:p w:rsidR="009F35AA" w:rsidRPr="005949A7" w:rsidRDefault="00DD65E6" w:rsidP="009F35AA">
      <w:pPr>
        <w:jc w:val="both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lastRenderedPageBreak/>
        <w:t>Укупно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су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дате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2 (</w:t>
      </w:r>
      <w:r>
        <w:rPr>
          <w:rFonts w:asciiTheme="minorHAnsi" w:hAnsiTheme="minorHAnsi" w:cs="Calibri"/>
          <w:sz w:val="22"/>
          <w:szCs w:val="22"/>
          <w:lang w:val="sr-Cyrl-CS"/>
        </w:rPr>
        <w:t>двије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) </w:t>
      </w:r>
      <w:r>
        <w:rPr>
          <w:rFonts w:asciiTheme="minorHAnsi" w:hAnsiTheme="minorHAnsi" w:cs="Calibri"/>
          <w:sz w:val="22"/>
          <w:szCs w:val="22"/>
          <w:lang w:val="sr-Cyrl-CS"/>
        </w:rPr>
        <w:t>сагласности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уступање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уговора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концесији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промјени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власничке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структуре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минералних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ресурса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>.</w:t>
      </w:r>
    </w:p>
    <w:p w:rsidR="00380142" w:rsidRDefault="00380142" w:rsidP="009F35AA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9F35AA" w:rsidRPr="005949A7" w:rsidRDefault="00DD65E6" w:rsidP="009F35AA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BA10B3" w:rsidRPr="005949A7">
        <w:rPr>
          <w:rFonts w:asciiTheme="minorHAnsi" w:hAnsiTheme="minorHAnsi"/>
          <w:b/>
          <w:sz w:val="22"/>
          <w:szCs w:val="22"/>
          <w:lang w:val="ru-RU"/>
        </w:rPr>
        <w:t>18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концесије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давању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сагласности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закључење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анекса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уговора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концесији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минералних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ресурса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9F35AA" w:rsidRPr="005949A7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820"/>
        <w:gridCol w:w="2858"/>
        <w:gridCol w:w="1920"/>
        <w:gridCol w:w="1757"/>
      </w:tblGrid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Концесионар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9F35AA" w:rsidRPr="005949A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</w:rPr>
              <w:t>1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</w:rPr>
              <w:t>МИНЕЦО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</w:rPr>
              <w:t>ЛТД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Бања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Лука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Истраживање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а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нтимона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Подкозара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“,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Кордићи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Подхомара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Ново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Горажде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16.04.2015.</w:t>
            </w:r>
          </w:p>
        </w:tc>
      </w:tr>
      <w:tr w:rsidR="009F35AA" w:rsidRPr="005949A7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</w:rPr>
              <w:t>2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САФИР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“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Гацко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Коришћење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5E404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Геља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Љут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Гацко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28.04.2015.</w:t>
            </w:r>
          </w:p>
        </w:tc>
      </w:tr>
      <w:tr w:rsidR="009F35AA" w:rsidRPr="005949A7" w:rsidTr="00E37BA8">
        <w:trPr>
          <w:trHeight w:val="10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МАЈНЕ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>X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Пале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Истраж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5E404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Љубогошта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Пале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21.05.2014.</w:t>
            </w:r>
          </w:p>
        </w:tc>
      </w:tr>
      <w:tr w:rsidR="009F35AA" w:rsidRPr="005949A7" w:rsidTr="00E37BA8">
        <w:trPr>
          <w:trHeight w:val="10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Cyrl-CS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>W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ЕСТЕРН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МИНИНГ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Бања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Лука</w:t>
            </w:r>
          </w:p>
          <w:p w:rsidR="009F35AA" w:rsidRPr="005949A7" w:rsidRDefault="009F35AA" w:rsidP="00E37BA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Истраж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олова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цинка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бакра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пратећих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метала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истражном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простору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Челебићи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Фоча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>26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>05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.201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</w:p>
        </w:tc>
      </w:tr>
      <w:tr w:rsidR="009F35AA" w:rsidRPr="005949A7" w:rsidTr="00E37BA8">
        <w:trPr>
          <w:trHeight w:val="10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Latn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ЦОМСАР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ЕНЕРГ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Y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РЕПУБЛИКА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СРПСКА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Бања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Лука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угља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Делићи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Пељаве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Тобут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Угљевик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14.12.2015.</w:t>
            </w:r>
          </w:p>
        </w:tc>
      </w:tr>
      <w:tr w:rsidR="009F35AA" w:rsidRPr="005949A7" w:rsidTr="00E37BA8">
        <w:trPr>
          <w:trHeight w:val="10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Latn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ЦОМСАР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ЕНЕРГ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Y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РЕПУБЛИКА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СРПСКА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Бања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Лука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угља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Угљевик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Исток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2“,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Угљевик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ИИ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уговора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14.12.2015.</w:t>
            </w:r>
          </w:p>
        </w:tc>
      </w:tr>
      <w:tr w:rsidR="009F35AA" w:rsidRPr="005949A7" w:rsidTr="00E37BA8">
        <w:trPr>
          <w:trHeight w:val="10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rPr>
                <w:rFonts w:asciiTheme="minorHAnsi" w:hAnsiTheme="minorHAnsi"/>
                <w:lang w:val="sr-Latn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МАЈНЕ</w:t>
            </w:r>
            <w:r w:rsidRPr="005949A7">
              <w:rPr>
                <w:rFonts w:asciiTheme="minorHAnsi" w:hAnsiTheme="minorHAnsi"/>
                <w:sz w:val="22"/>
                <w:szCs w:val="22"/>
                <w:lang w:val="sr-Latn-BA"/>
              </w:rPr>
              <w:t>X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Пале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Истраж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тех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грађ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Камена</w:t>
            </w:r>
            <w:r w:rsidR="005E404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кречњака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лежишту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Љубогошта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Пале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DD65E6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ИИ</w:t>
            </w:r>
            <w:r w:rsidR="009F35AA"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уговора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A" w:rsidRPr="005949A7" w:rsidRDefault="009F35AA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5949A7">
              <w:rPr>
                <w:rFonts w:asciiTheme="minorHAnsi" w:hAnsiTheme="minorHAnsi"/>
                <w:sz w:val="22"/>
                <w:szCs w:val="22"/>
                <w:lang w:val="sr-Cyrl-BA"/>
              </w:rPr>
              <w:t>14.12.2015.</w:t>
            </w:r>
          </w:p>
        </w:tc>
      </w:tr>
    </w:tbl>
    <w:p w:rsidR="00270AC9" w:rsidRDefault="00DD65E6" w:rsidP="00270AC9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Укупно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је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дато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7 (</w:t>
      </w:r>
      <w:r>
        <w:rPr>
          <w:rFonts w:asciiTheme="minorHAnsi" w:hAnsiTheme="minorHAnsi" w:cs="Calibri"/>
          <w:sz w:val="22"/>
          <w:szCs w:val="22"/>
          <w:lang w:val="sr-Cyrl-CS"/>
        </w:rPr>
        <w:t>седам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) </w:t>
      </w:r>
      <w:r>
        <w:rPr>
          <w:rFonts w:asciiTheme="minorHAnsi" w:hAnsiTheme="minorHAnsi" w:cs="Calibri"/>
          <w:sz w:val="22"/>
          <w:szCs w:val="22"/>
          <w:lang w:val="sr-Cyrl-CS"/>
        </w:rPr>
        <w:t>сагласности</w:t>
      </w:r>
      <w:r w:rsidR="009F35AA" w:rsidRPr="005949A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закључење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анекса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концесији</w:t>
      </w:r>
      <w:r w:rsidR="009F35AA" w:rsidRPr="005949A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минералних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ресурса</w:t>
      </w:r>
      <w:r w:rsidR="009F35AA" w:rsidRPr="005949A7">
        <w:rPr>
          <w:rFonts w:asciiTheme="minorHAnsi" w:hAnsiTheme="minorHAnsi"/>
          <w:sz w:val="22"/>
          <w:szCs w:val="22"/>
          <w:lang w:val="sr-Cyrl-CS"/>
        </w:rPr>
        <w:t>.</w:t>
      </w:r>
    </w:p>
    <w:p w:rsidR="00380142" w:rsidRPr="005E4041" w:rsidRDefault="00380142" w:rsidP="00270AC9">
      <w:pPr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E97B82" w:rsidRPr="005E4041" w:rsidRDefault="00E97B82" w:rsidP="005E4041">
      <w:pPr>
        <w:pStyle w:val="Heading3"/>
        <w:rPr>
          <w:rFonts w:eastAsia="Cambria"/>
        </w:rPr>
      </w:pPr>
      <w:bookmarkStart w:id="44" w:name="_Toc449404327"/>
      <w:bookmarkStart w:id="45" w:name="_Toc418075629"/>
      <w:r w:rsidRPr="00E97B82">
        <w:rPr>
          <w:rFonts w:eastAsia="Cambria"/>
        </w:rPr>
        <w:t xml:space="preserve">3.3.2. </w:t>
      </w:r>
      <w:r w:rsidR="00DD65E6">
        <w:rPr>
          <w:rFonts w:eastAsia="Cambria"/>
        </w:rPr>
        <w:t>Преглед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закључених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уговора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према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врсти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минералне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сировине</w:t>
      </w:r>
      <w:bookmarkEnd w:id="44"/>
    </w:p>
    <w:p w:rsidR="00E97B82" w:rsidRPr="00E97B82" w:rsidRDefault="00DD65E6" w:rsidP="00E97B82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ресурса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календарској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2015. </w:t>
      </w:r>
      <w:r>
        <w:rPr>
          <w:rFonts w:ascii="Calibri" w:eastAsia="Calibri" w:hAnsi="Calibri" w:cs="Calibri"/>
          <w:sz w:val="22"/>
          <w:szCs w:val="22"/>
        </w:rPr>
        <w:t>години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97 (</w:t>
      </w:r>
      <w:r>
        <w:rPr>
          <w:rFonts w:ascii="Calibri" w:eastAsia="Calibri" w:hAnsi="Calibri" w:cs="Calibri"/>
          <w:sz w:val="22"/>
          <w:szCs w:val="22"/>
        </w:rPr>
        <w:t>деведесет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седам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z w:val="22"/>
          <w:szCs w:val="22"/>
        </w:rPr>
        <w:t>Уговори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закључени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81 (</w:t>
      </w:r>
      <w:r>
        <w:rPr>
          <w:rFonts w:ascii="Calibri" w:eastAsia="Calibri" w:hAnsi="Calibri" w:cs="Calibri"/>
          <w:sz w:val="22"/>
          <w:szCs w:val="22"/>
        </w:rPr>
        <w:t>осамдесет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једним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правним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лицем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Према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</w:t>
      </w:r>
      <w:r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сировин</w:t>
      </w:r>
      <w:r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можемо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подијелити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сљедећи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начин</w:t>
      </w:r>
      <w:r w:rsidR="00E97B82" w:rsidRPr="00E97B82">
        <w:rPr>
          <w:rFonts w:ascii="Calibri" w:eastAsia="Calibri" w:hAnsi="Calibri" w:cs="Calibri"/>
          <w:sz w:val="22"/>
          <w:szCs w:val="22"/>
        </w:rPr>
        <w:t>:</w:t>
      </w:r>
    </w:p>
    <w:p w:rsidR="00E97B82" w:rsidRPr="00E97B82" w:rsidRDefault="00DD65E6" w:rsidP="00E97B82">
      <w:pPr>
        <w:pStyle w:val="ListParagraph"/>
        <w:numPr>
          <w:ilvl w:val="0"/>
          <w:numId w:val="24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кречњак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доломит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 w:rsidR="005E4041">
        <w:rPr>
          <w:rFonts w:asciiTheme="minorHAnsi" w:eastAsia="Calibri" w:hAnsiTheme="minorHAnsi"/>
          <w:sz w:val="22"/>
          <w:szCs w:val="22"/>
        </w:rPr>
        <w:t>–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истраживање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>/</w:t>
      </w:r>
      <w:r>
        <w:rPr>
          <w:rFonts w:asciiTheme="minorHAnsi" w:eastAsia="Calibri" w:hAnsiTheme="minorHAnsi"/>
          <w:sz w:val="22"/>
          <w:szCs w:val="22"/>
        </w:rPr>
        <w:t>или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експлоатација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техничког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грађевинског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камена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– 38 (</w:t>
      </w:r>
      <w:r>
        <w:rPr>
          <w:rFonts w:asciiTheme="minorHAnsi" w:eastAsia="Calibri" w:hAnsiTheme="minorHAnsi"/>
          <w:sz w:val="22"/>
          <w:szCs w:val="22"/>
        </w:rPr>
        <w:t>тридесет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осам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>уговора</w:t>
      </w:r>
      <w:r w:rsidR="00E97B82" w:rsidRPr="00E97B82">
        <w:rPr>
          <w:rFonts w:asciiTheme="minorHAnsi" w:eastAsia="Calibri" w:hAnsiTheme="minorHAnsi"/>
          <w:sz w:val="22"/>
          <w:szCs w:val="22"/>
        </w:rPr>
        <w:t>;</w:t>
      </w:r>
    </w:p>
    <w:p w:rsidR="00E97B82" w:rsidRPr="00E97B82" w:rsidRDefault="00DD65E6" w:rsidP="00E97B82">
      <w:pPr>
        <w:pStyle w:val="ListParagraph"/>
        <w:numPr>
          <w:ilvl w:val="0"/>
          <w:numId w:val="24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геотермалне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термоминералне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минералне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воде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 w:rsidR="005E4041">
        <w:rPr>
          <w:rFonts w:asciiTheme="minorHAnsi" w:eastAsia="Calibri" w:hAnsiTheme="minorHAnsi"/>
          <w:sz w:val="22"/>
          <w:szCs w:val="22"/>
        </w:rPr>
        <w:t>–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истраживање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>/</w:t>
      </w:r>
      <w:r>
        <w:rPr>
          <w:rFonts w:asciiTheme="minorHAnsi" w:eastAsia="Calibri" w:hAnsiTheme="minorHAnsi"/>
          <w:sz w:val="22"/>
          <w:szCs w:val="22"/>
        </w:rPr>
        <w:t>или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експлоатација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– 10 (</w:t>
      </w:r>
      <w:r>
        <w:rPr>
          <w:rFonts w:asciiTheme="minorHAnsi" w:eastAsia="Calibri" w:hAnsiTheme="minorHAnsi"/>
          <w:sz w:val="22"/>
          <w:szCs w:val="22"/>
        </w:rPr>
        <w:t>десет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>уговора</w:t>
      </w:r>
      <w:r w:rsidR="00E97B82" w:rsidRPr="00E97B82">
        <w:rPr>
          <w:rFonts w:asciiTheme="minorHAnsi" w:eastAsia="Calibri" w:hAnsiTheme="minorHAnsi"/>
          <w:sz w:val="22"/>
          <w:szCs w:val="22"/>
        </w:rPr>
        <w:t>;</w:t>
      </w:r>
    </w:p>
    <w:p w:rsidR="00E97B82" w:rsidRPr="00E97B82" w:rsidRDefault="00DD65E6" w:rsidP="00E97B82">
      <w:pPr>
        <w:pStyle w:val="ListParagraph"/>
        <w:numPr>
          <w:ilvl w:val="0"/>
          <w:numId w:val="24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питке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воде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 w:rsidR="005E4041">
        <w:rPr>
          <w:rFonts w:asciiTheme="minorHAnsi" w:eastAsia="Calibri" w:hAnsiTheme="minorHAnsi"/>
          <w:sz w:val="22"/>
          <w:szCs w:val="22"/>
        </w:rPr>
        <w:t>–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истраживање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>/</w:t>
      </w:r>
      <w:r>
        <w:rPr>
          <w:rFonts w:asciiTheme="minorHAnsi" w:eastAsia="Calibri" w:hAnsiTheme="minorHAnsi"/>
          <w:sz w:val="22"/>
          <w:szCs w:val="22"/>
        </w:rPr>
        <w:t>или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експлоатација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– 8 (</w:t>
      </w:r>
      <w:r>
        <w:rPr>
          <w:rFonts w:asciiTheme="minorHAnsi" w:eastAsia="Calibri" w:hAnsiTheme="minorHAnsi"/>
          <w:sz w:val="22"/>
          <w:szCs w:val="22"/>
        </w:rPr>
        <w:t>осам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>уговора</w:t>
      </w:r>
      <w:r w:rsidR="00E97B82" w:rsidRPr="00E97B82">
        <w:rPr>
          <w:rFonts w:asciiTheme="minorHAnsi" w:eastAsia="Calibri" w:hAnsiTheme="minorHAnsi"/>
          <w:sz w:val="22"/>
          <w:szCs w:val="22"/>
        </w:rPr>
        <w:t>;</w:t>
      </w:r>
    </w:p>
    <w:p w:rsidR="00E97B82" w:rsidRPr="00E97B82" w:rsidRDefault="00DD65E6" w:rsidP="00E97B82">
      <w:pPr>
        <w:pStyle w:val="ListParagraph"/>
        <w:numPr>
          <w:ilvl w:val="0"/>
          <w:numId w:val="24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lastRenderedPageBreak/>
        <w:t>магматске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метаморфне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стијене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(</w:t>
      </w:r>
      <w:r>
        <w:rPr>
          <w:rFonts w:asciiTheme="minorHAnsi" w:eastAsia="Calibri" w:hAnsiTheme="minorHAnsi"/>
          <w:sz w:val="22"/>
          <w:szCs w:val="22"/>
        </w:rPr>
        <w:t>дијабаз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метадијабаз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перидотит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габро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серпентинит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кварцит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дацит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) </w:t>
      </w:r>
      <w:r w:rsidR="005E4041">
        <w:rPr>
          <w:rFonts w:asciiTheme="minorHAnsi" w:eastAsia="Calibri" w:hAnsiTheme="minorHAnsi"/>
          <w:sz w:val="22"/>
          <w:szCs w:val="22"/>
        </w:rPr>
        <w:t>–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истраживање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>/</w:t>
      </w:r>
      <w:r>
        <w:rPr>
          <w:rFonts w:asciiTheme="minorHAnsi" w:eastAsia="Calibri" w:hAnsiTheme="minorHAnsi"/>
          <w:sz w:val="22"/>
          <w:szCs w:val="22"/>
        </w:rPr>
        <w:t>или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експлоатација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техничког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грађевинског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камена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– 11 (</w:t>
      </w:r>
      <w:r>
        <w:rPr>
          <w:rFonts w:asciiTheme="minorHAnsi" w:eastAsia="Calibri" w:hAnsiTheme="minorHAnsi"/>
          <w:sz w:val="22"/>
          <w:szCs w:val="22"/>
        </w:rPr>
        <w:t>једанаест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>уговора</w:t>
      </w:r>
      <w:r w:rsidR="00E97B82" w:rsidRPr="00E97B82">
        <w:rPr>
          <w:rFonts w:asciiTheme="minorHAnsi" w:eastAsia="Calibri" w:hAnsiTheme="minorHAnsi"/>
          <w:sz w:val="22"/>
          <w:szCs w:val="22"/>
        </w:rPr>
        <w:t>;</w:t>
      </w:r>
    </w:p>
    <w:p w:rsidR="00E97B82" w:rsidRPr="00E97B82" w:rsidRDefault="00DD65E6" w:rsidP="00E97B82">
      <w:pPr>
        <w:pStyle w:val="ListParagraph"/>
        <w:numPr>
          <w:ilvl w:val="0"/>
          <w:numId w:val="24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угаљ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 w:rsidR="005E4041">
        <w:rPr>
          <w:rFonts w:asciiTheme="minorHAnsi" w:eastAsia="Calibri" w:hAnsiTheme="minorHAnsi"/>
          <w:sz w:val="22"/>
          <w:szCs w:val="22"/>
        </w:rPr>
        <w:t>–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истраживање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>/</w:t>
      </w:r>
      <w:r>
        <w:rPr>
          <w:rFonts w:asciiTheme="minorHAnsi" w:eastAsia="Calibri" w:hAnsiTheme="minorHAnsi"/>
          <w:sz w:val="22"/>
          <w:szCs w:val="22"/>
        </w:rPr>
        <w:t>или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експлоатација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– 8 (</w:t>
      </w:r>
      <w:r>
        <w:rPr>
          <w:rFonts w:asciiTheme="minorHAnsi" w:eastAsia="Calibri" w:hAnsiTheme="minorHAnsi"/>
          <w:sz w:val="22"/>
          <w:szCs w:val="22"/>
        </w:rPr>
        <w:t>осам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>уговора</w:t>
      </w:r>
      <w:r w:rsidR="00E97B82" w:rsidRPr="00E97B82">
        <w:rPr>
          <w:rFonts w:asciiTheme="minorHAnsi" w:eastAsia="Calibri" w:hAnsiTheme="minorHAnsi"/>
          <w:sz w:val="22"/>
          <w:szCs w:val="22"/>
        </w:rPr>
        <w:t>;</w:t>
      </w:r>
    </w:p>
    <w:p w:rsidR="00E97B82" w:rsidRPr="00E97B82" w:rsidRDefault="00DD65E6" w:rsidP="00E97B82">
      <w:pPr>
        <w:pStyle w:val="ListParagraph"/>
        <w:numPr>
          <w:ilvl w:val="0"/>
          <w:numId w:val="24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глине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 w:rsidR="005E4041">
        <w:rPr>
          <w:rFonts w:asciiTheme="minorHAnsi" w:eastAsia="Calibri" w:hAnsiTheme="minorHAnsi"/>
          <w:sz w:val="22"/>
          <w:szCs w:val="22"/>
        </w:rPr>
        <w:t>–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истраживање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>/</w:t>
      </w:r>
      <w:r>
        <w:rPr>
          <w:rFonts w:asciiTheme="minorHAnsi" w:eastAsia="Calibri" w:hAnsiTheme="minorHAnsi"/>
          <w:sz w:val="22"/>
          <w:szCs w:val="22"/>
        </w:rPr>
        <w:t>или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експлоатација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– 4 (</w:t>
      </w:r>
      <w:r>
        <w:rPr>
          <w:rFonts w:asciiTheme="minorHAnsi" w:eastAsia="Calibri" w:hAnsiTheme="minorHAnsi"/>
          <w:sz w:val="22"/>
          <w:szCs w:val="22"/>
        </w:rPr>
        <w:t>четири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>уговора</w:t>
      </w:r>
      <w:r w:rsidR="00E97B82" w:rsidRPr="00E97B82">
        <w:rPr>
          <w:rFonts w:asciiTheme="minorHAnsi" w:eastAsia="Calibri" w:hAnsiTheme="minorHAnsi"/>
          <w:sz w:val="22"/>
          <w:szCs w:val="22"/>
        </w:rPr>
        <w:t>;</w:t>
      </w:r>
    </w:p>
    <w:p w:rsidR="00E97B82" w:rsidRPr="00E97B82" w:rsidRDefault="00DD65E6" w:rsidP="00E97B82">
      <w:pPr>
        <w:pStyle w:val="ListParagraph"/>
        <w:numPr>
          <w:ilvl w:val="0"/>
          <w:numId w:val="24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кречњак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 w:rsidR="005E4041">
        <w:rPr>
          <w:rFonts w:asciiTheme="minorHAnsi" w:eastAsia="Calibri" w:hAnsiTheme="minorHAnsi"/>
          <w:sz w:val="22"/>
          <w:szCs w:val="22"/>
        </w:rPr>
        <w:t>–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истраживање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>/</w:t>
      </w:r>
      <w:r>
        <w:rPr>
          <w:rFonts w:asciiTheme="minorHAnsi" w:eastAsia="Calibri" w:hAnsiTheme="minorHAnsi"/>
          <w:sz w:val="22"/>
          <w:szCs w:val="22"/>
        </w:rPr>
        <w:t>или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експлоатација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архитектонско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- </w:t>
      </w:r>
      <w:r>
        <w:rPr>
          <w:rFonts w:asciiTheme="minorHAnsi" w:eastAsia="Calibri" w:hAnsiTheme="minorHAnsi"/>
          <w:sz w:val="22"/>
          <w:szCs w:val="22"/>
        </w:rPr>
        <w:t>грађевинског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камена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– 4 (</w:t>
      </w:r>
      <w:r>
        <w:rPr>
          <w:rFonts w:asciiTheme="minorHAnsi" w:eastAsia="Calibri" w:hAnsiTheme="minorHAnsi"/>
          <w:sz w:val="22"/>
          <w:szCs w:val="22"/>
        </w:rPr>
        <w:t>четири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>уговора</w:t>
      </w:r>
      <w:r w:rsidR="00E97B82" w:rsidRPr="00E97B82">
        <w:rPr>
          <w:rFonts w:asciiTheme="minorHAnsi" w:eastAsia="Calibri" w:hAnsiTheme="minorHAnsi"/>
          <w:sz w:val="22"/>
          <w:szCs w:val="22"/>
        </w:rPr>
        <w:t>;</w:t>
      </w:r>
    </w:p>
    <w:p w:rsidR="00E97B82" w:rsidRPr="00E97B82" w:rsidRDefault="00DD65E6" w:rsidP="00E97B82">
      <w:pPr>
        <w:pStyle w:val="ListParagraph"/>
        <w:numPr>
          <w:ilvl w:val="0"/>
          <w:numId w:val="24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шљунак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пијесак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 w:rsidR="005E4041">
        <w:rPr>
          <w:rFonts w:asciiTheme="minorHAnsi" w:eastAsia="Calibri" w:hAnsiTheme="minorHAnsi"/>
          <w:sz w:val="22"/>
          <w:szCs w:val="22"/>
        </w:rPr>
        <w:t>–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истраживање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>/</w:t>
      </w:r>
      <w:r>
        <w:rPr>
          <w:rFonts w:asciiTheme="minorHAnsi" w:eastAsia="Calibri" w:hAnsiTheme="minorHAnsi"/>
          <w:sz w:val="22"/>
          <w:szCs w:val="22"/>
        </w:rPr>
        <w:t>или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експлоатација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– 3 (</w:t>
      </w:r>
      <w:r>
        <w:rPr>
          <w:rFonts w:asciiTheme="minorHAnsi" w:eastAsia="Calibri" w:hAnsiTheme="minorHAnsi"/>
          <w:sz w:val="22"/>
          <w:szCs w:val="22"/>
        </w:rPr>
        <w:t>три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>уговора</w:t>
      </w:r>
      <w:r w:rsidR="00E97B82" w:rsidRPr="00E97B82">
        <w:rPr>
          <w:rFonts w:asciiTheme="minorHAnsi" w:eastAsia="Calibri" w:hAnsiTheme="minorHAnsi"/>
          <w:sz w:val="22"/>
          <w:szCs w:val="22"/>
        </w:rPr>
        <w:t>;</w:t>
      </w:r>
    </w:p>
    <w:p w:rsidR="00E97B82" w:rsidRPr="00E97B82" w:rsidRDefault="00DD65E6" w:rsidP="00E97B82">
      <w:pPr>
        <w:pStyle w:val="ListParagraph"/>
        <w:numPr>
          <w:ilvl w:val="0"/>
          <w:numId w:val="24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боксит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 w:rsidR="005E4041">
        <w:rPr>
          <w:rFonts w:asciiTheme="minorHAnsi" w:eastAsia="Calibri" w:hAnsiTheme="minorHAnsi"/>
          <w:sz w:val="22"/>
          <w:szCs w:val="22"/>
        </w:rPr>
        <w:t>–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експлоатација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– 3 (</w:t>
      </w:r>
      <w:r>
        <w:rPr>
          <w:rFonts w:asciiTheme="minorHAnsi" w:eastAsia="Calibri" w:hAnsiTheme="minorHAnsi"/>
          <w:sz w:val="22"/>
          <w:szCs w:val="22"/>
        </w:rPr>
        <w:t>три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>уговора</w:t>
      </w:r>
      <w:r w:rsidR="00E97B82" w:rsidRPr="00E97B82">
        <w:rPr>
          <w:rFonts w:asciiTheme="minorHAnsi" w:eastAsia="Calibri" w:hAnsiTheme="minorHAnsi"/>
          <w:sz w:val="22"/>
          <w:szCs w:val="22"/>
        </w:rPr>
        <w:t>;</w:t>
      </w:r>
    </w:p>
    <w:p w:rsidR="00E97B82" w:rsidRPr="00E97B82" w:rsidRDefault="00DD65E6" w:rsidP="00E97B82">
      <w:pPr>
        <w:pStyle w:val="ListParagraph"/>
        <w:numPr>
          <w:ilvl w:val="0"/>
          <w:numId w:val="24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олово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цинк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 w:rsidR="005E4041">
        <w:rPr>
          <w:rFonts w:asciiTheme="minorHAnsi" w:eastAsia="Calibri" w:hAnsiTheme="minorHAnsi"/>
          <w:sz w:val="22"/>
          <w:szCs w:val="22"/>
        </w:rPr>
        <w:t>–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истраживање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експлоатација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прерада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– 2 (</w:t>
      </w:r>
      <w:r>
        <w:rPr>
          <w:rFonts w:asciiTheme="minorHAnsi" w:eastAsia="Calibri" w:hAnsiTheme="minorHAnsi"/>
          <w:sz w:val="22"/>
          <w:szCs w:val="22"/>
        </w:rPr>
        <w:t>два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>уговора</w:t>
      </w:r>
      <w:r w:rsidR="00E97B82" w:rsidRPr="00E97B82">
        <w:rPr>
          <w:rFonts w:asciiTheme="minorHAnsi" w:eastAsia="Calibri" w:hAnsiTheme="minorHAnsi"/>
          <w:sz w:val="22"/>
          <w:szCs w:val="22"/>
        </w:rPr>
        <w:t>;</w:t>
      </w:r>
    </w:p>
    <w:p w:rsidR="00E97B82" w:rsidRPr="00E97B82" w:rsidRDefault="00DD65E6" w:rsidP="00E97B82">
      <w:pPr>
        <w:pStyle w:val="ListParagraph"/>
        <w:numPr>
          <w:ilvl w:val="0"/>
          <w:numId w:val="24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ЦО</w:t>
      </w:r>
      <w:r w:rsidR="00E97B82" w:rsidRPr="00E97B82">
        <w:rPr>
          <w:rFonts w:asciiTheme="minorHAnsi" w:eastAsia="Calibri" w:hAnsiTheme="minorHAnsi" w:cs="Cambria Math"/>
          <w:sz w:val="22"/>
          <w:szCs w:val="22"/>
        </w:rPr>
        <w:t>₂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гас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 w:rsidR="005E4041">
        <w:rPr>
          <w:rFonts w:asciiTheme="minorHAnsi" w:eastAsia="Calibri" w:hAnsiTheme="minorHAnsi"/>
          <w:sz w:val="22"/>
          <w:szCs w:val="22"/>
        </w:rPr>
        <w:t>–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експлоатација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– 1 (</w:t>
      </w:r>
      <w:r>
        <w:rPr>
          <w:rFonts w:asciiTheme="minorHAnsi" w:eastAsia="Calibri" w:hAnsiTheme="minorHAnsi"/>
          <w:sz w:val="22"/>
          <w:szCs w:val="22"/>
        </w:rPr>
        <w:t>један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>уговор</w:t>
      </w:r>
      <w:r w:rsidR="00E97B82" w:rsidRPr="00E97B82">
        <w:rPr>
          <w:rFonts w:asciiTheme="minorHAnsi" w:eastAsia="Calibri" w:hAnsiTheme="minorHAnsi"/>
          <w:sz w:val="22"/>
          <w:szCs w:val="22"/>
        </w:rPr>
        <w:t>;</w:t>
      </w:r>
    </w:p>
    <w:p w:rsidR="00E97B82" w:rsidRPr="00E97B82" w:rsidRDefault="00DD65E6" w:rsidP="00E97B82">
      <w:pPr>
        <w:pStyle w:val="ListParagraph"/>
        <w:numPr>
          <w:ilvl w:val="0"/>
          <w:numId w:val="24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креда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 w:rsidR="005E4041">
        <w:rPr>
          <w:rFonts w:asciiTheme="minorHAnsi" w:eastAsia="Calibri" w:hAnsiTheme="minorHAnsi"/>
          <w:sz w:val="22"/>
          <w:szCs w:val="22"/>
        </w:rPr>
        <w:t>–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експлоатација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– 1 (</w:t>
      </w:r>
      <w:r>
        <w:rPr>
          <w:rFonts w:asciiTheme="minorHAnsi" w:eastAsia="Calibri" w:hAnsiTheme="minorHAnsi"/>
          <w:sz w:val="22"/>
          <w:szCs w:val="22"/>
        </w:rPr>
        <w:t>један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>уговор</w:t>
      </w:r>
      <w:r w:rsidR="00E97B82" w:rsidRPr="00E97B82">
        <w:rPr>
          <w:rFonts w:asciiTheme="minorHAnsi" w:eastAsia="Calibri" w:hAnsiTheme="minorHAnsi"/>
          <w:sz w:val="22"/>
          <w:szCs w:val="22"/>
        </w:rPr>
        <w:t>;</w:t>
      </w:r>
    </w:p>
    <w:p w:rsidR="00E97B82" w:rsidRPr="00E97B82" w:rsidRDefault="00DD65E6" w:rsidP="00E97B82">
      <w:pPr>
        <w:pStyle w:val="ListParagraph"/>
        <w:numPr>
          <w:ilvl w:val="0"/>
          <w:numId w:val="24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кварцни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пијесак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шљунак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 w:rsidR="005E4041">
        <w:rPr>
          <w:rFonts w:asciiTheme="minorHAnsi" w:eastAsia="Calibri" w:hAnsiTheme="minorHAnsi"/>
          <w:sz w:val="22"/>
          <w:szCs w:val="22"/>
        </w:rPr>
        <w:t>–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истраживање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или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експлоатација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– 2 (</w:t>
      </w:r>
      <w:r>
        <w:rPr>
          <w:rFonts w:asciiTheme="minorHAnsi" w:eastAsia="Calibri" w:hAnsiTheme="minorHAnsi"/>
          <w:sz w:val="22"/>
          <w:szCs w:val="22"/>
        </w:rPr>
        <w:t>два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>уговора</w:t>
      </w:r>
      <w:r w:rsidR="00E97B82" w:rsidRPr="00E97B82">
        <w:rPr>
          <w:rFonts w:asciiTheme="minorHAnsi" w:eastAsia="Calibri" w:hAnsiTheme="minorHAnsi"/>
          <w:sz w:val="22"/>
          <w:szCs w:val="22"/>
        </w:rPr>
        <w:t>;</w:t>
      </w:r>
    </w:p>
    <w:p w:rsidR="00E97B82" w:rsidRPr="00E97B82" w:rsidRDefault="00DD65E6" w:rsidP="00E97B82">
      <w:pPr>
        <w:pStyle w:val="ListParagraph"/>
        <w:numPr>
          <w:ilvl w:val="0"/>
          <w:numId w:val="24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угљоводоници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сирова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нафта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гас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 w:rsidR="005E4041">
        <w:rPr>
          <w:rFonts w:asciiTheme="minorHAnsi" w:eastAsia="Calibri" w:hAnsiTheme="minorHAnsi"/>
          <w:sz w:val="22"/>
          <w:szCs w:val="22"/>
        </w:rPr>
        <w:t>–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истраживање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коришћење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– 1 (</w:t>
      </w:r>
      <w:r>
        <w:rPr>
          <w:rFonts w:asciiTheme="minorHAnsi" w:eastAsia="Calibri" w:hAnsiTheme="minorHAnsi"/>
          <w:sz w:val="22"/>
          <w:szCs w:val="22"/>
        </w:rPr>
        <w:t>један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>уговор</w:t>
      </w:r>
      <w:r w:rsidR="00E97B82" w:rsidRPr="00E97B82">
        <w:rPr>
          <w:rFonts w:asciiTheme="minorHAnsi" w:eastAsia="Calibri" w:hAnsiTheme="minorHAnsi"/>
          <w:sz w:val="22"/>
          <w:szCs w:val="22"/>
        </w:rPr>
        <w:t>;</w:t>
      </w:r>
    </w:p>
    <w:p w:rsidR="00E97B82" w:rsidRPr="00E97B82" w:rsidRDefault="00DD65E6" w:rsidP="00E97B82">
      <w:pPr>
        <w:pStyle w:val="ListParagraph"/>
        <w:numPr>
          <w:ilvl w:val="0"/>
          <w:numId w:val="24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антимон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 w:rsidR="005E4041">
        <w:rPr>
          <w:rFonts w:asciiTheme="minorHAnsi" w:eastAsia="Calibri" w:hAnsiTheme="minorHAnsi"/>
          <w:sz w:val="22"/>
          <w:szCs w:val="22"/>
        </w:rPr>
        <w:t>–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истраживање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експлоатација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 – 1 (</w:t>
      </w:r>
      <w:r>
        <w:rPr>
          <w:rFonts w:asciiTheme="minorHAnsi" w:eastAsia="Calibri" w:hAnsiTheme="minorHAnsi"/>
          <w:sz w:val="22"/>
          <w:szCs w:val="22"/>
        </w:rPr>
        <w:t>један</w:t>
      </w:r>
      <w:r w:rsidR="00E97B82" w:rsidRPr="00E97B82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>уговор</w:t>
      </w:r>
      <w:r w:rsidR="00E97B82" w:rsidRPr="00E97B82">
        <w:rPr>
          <w:rFonts w:asciiTheme="minorHAnsi" w:eastAsia="Calibri" w:hAnsiTheme="minorHAnsi"/>
          <w:sz w:val="22"/>
          <w:szCs w:val="22"/>
        </w:rPr>
        <w:t>.</w:t>
      </w:r>
    </w:p>
    <w:p w:rsidR="00E97B82" w:rsidRPr="00E97B82" w:rsidRDefault="00E97B82" w:rsidP="00E97B82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:rsidR="00E97B82" w:rsidRPr="00E97B82" w:rsidRDefault="00DD65E6" w:rsidP="00E97B82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констатовати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неколико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случајева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закључен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двије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више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различитих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сировина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основна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пратећа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сировина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угаљ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креда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полиминерална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глина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кварцни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пијесак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угаљ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бентонит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друго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Default="00DD65E6" w:rsidP="00E97B82">
      <w:pPr>
        <w:spacing w:after="120"/>
        <w:jc w:val="both"/>
        <w:rPr>
          <w:rFonts w:ascii="Calibri" w:eastAsia="Calibri" w:hAnsi="Calibri" w:cs="Calibri"/>
          <w:sz w:val="22"/>
          <w:szCs w:val="22"/>
          <w:lang w:val="sr-Cyrl-BA"/>
        </w:rPr>
      </w:pP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97 (</w:t>
      </w:r>
      <w:r>
        <w:rPr>
          <w:rFonts w:ascii="Calibri" w:eastAsia="Calibri" w:hAnsi="Calibri" w:cs="Calibri"/>
          <w:sz w:val="22"/>
          <w:szCs w:val="22"/>
        </w:rPr>
        <w:t>деведесет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седам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активних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ресурса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током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2015. </w:t>
      </w:r>
      <w:r>
        <w:rPr>
          <w:rFonts w:ascii="Calibri" w:eastAsia="Calibri" w:hAnsi="Calibri" w:cs="Calibri"/>
          <w:sz w:val="22"/>
          <w:szCs w:val="22"/>
        </w:rPr>
        <w:t>године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 9 (</w:t>
      </w:r>
      <w:r>
        <w:rPr>
          <w:rFonts w:ascii="Calibri" w:eastAsia="Calibri" w:hAnsi="Calibri" w:cs="Calibri"/>
          <w:sz w:val="22"/>
          <w:szCs w:val="22"/>
        </w:rPr>
        <w:t>девет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истекло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раскинуто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</w:rPr>
        <w:t>: 2 (</w:t>
      </w:r>
      <w:r>
        <w:rPr>
          <w:rFonts w:ascii="Calibri" w:eastAsia="Calibri" w:hAnsi="Calibri" w:cs="Calibri"/>
          <w:sz w:val="22"/>
          <w:szCs w:val="22"/>
        </w:rPr>
        <w:t>два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споразум</w:t>
      </w:r>
      <w:r>
        <w:rPr>
          <w:rFonts w:ascii="Calibri" w:eastAsia="Calibri" w:hAnsi="Calibri" w:cs="Calibri"/>
          <w:sz w:val="22"/>
          <w:szCs w:val="22"/>
          <w:lang w:val="sr-Cyrl-BA"/>
        </w:rPr>
        <w:t>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раскинута</w:t>
      </w:r>
      <w:r w:rsidR="00E97B82" w:rsidRPr="00E97B82">
        <w:rPr>
          <w:rFonts w:ascii="Calibri" w:eastAsia="Calibri" w:hAnsi="Calibri" w:cs="Calibri"/>
          <w:sz w:val="22"/>
          <w:szCs w:val="22"/>
        </w:rPr>
        <w:t>, 2 (</w:t>
      </w:r>
      <w:r>
        <w:rPr>
          <w:rFonts w:ascii="Calibri" w:eastAsia="Calibri" w:hAnsi="Calibri" w:cs="Calibri"/>
          <w:sz w:val="22"/>
          <w:szCs w:val="22"/>
        </w:rPr>
        <w:t>два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једнострано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раскинута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надлежног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минстарства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5 (</w:t>
      </w:r>
      <w:r>
        <w:rPr>
          <w:rFonts w:ascii="Calibri" w:eastAsia="Calibri" w:hAnsi="Calibri" w:cs="Calibri"/>
          <w:sz w:val="22"/>
          <w:szCs w:val="22"/>
        </w:rPr>
        <w:t>пет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истекло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4 (</w:t>
      </w:r>
      <w:r>
        <w:rPr>
          <w:rFonts w:ascii="Calibri" w:eastAsia="Calibri" w:hAnsi="Calibri" w:cs="Calibri"/>
          <w:sz w:val="22"/>
          <w:szCs w:val="22"/>
        </w:rPr>
        <w:t>четири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реализована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1 (</w:t>
      </w:r>
      <w:r>
        <w:rPr>
          <w:rFonts w:ascii="Calibri" w:eastAsia="Calibri" w:hAnsi="Calibri" w:cs="Calibri"/>
          <w:sz w:val="22"/>
          <w:szCs w:val="22"/>
        </w:rPr>
        <w:t>један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уговор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реализован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уговореном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року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</w:p>
    <w:p w:rsidR="002C40EF" w:rsidRPr="00E97B82" w:rsidRDefault="00DD65E6" w:rsidP="002C40EF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У</w:t>
      </w:r>
      <w:r w:rsidR="002C40EF" w:rsidRPr="005F3460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sr-Cyrl-BA"/>
        </w:rPr>
        <w:t>П</w:t>
      </w:r>
      <w:r>
        <w:rPr>
          <w:rFonts w:ascii="Calibri" w:eastAsia="Calibri" w:hAnsi="Calibri" w:cs="Calibri"/>
          <w:b/>
          <w:sz w:val="22"/>
          <w:szCs w:val="22"/>
        </w:rPr>
        <w:t>рилогу</w:t>
      </w:r>
      <w:r w:rsidR="002C40EF" w:rsidRPr="005F3460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број</w:t>
      </w:r>
      <w:r w:rsidR="002C40EF" w:rsidRPr="005F346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C40EF" w:rsidRPr="005F3460">
        <w:rPr>
          <w:rFonts w:ascii="Calibri" w:eastAsia="Calibri" w:hAnsi="Calibri" w:cs="Calibri"/>
          <w:b/>
          <w:sz w:val="22"/>
          <w:szCs w:val="22"/>
          <w:lang w:val="sr-Cyrl-BA"/>
        </w:rPr>
        <w:t>4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Извјештаја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>Преглед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реализацији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области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минералних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ресурса</w:t>
      </w:r>
      <w:r w:rsidR="002C40EF">
        <w:rPr>
          <w:rFonts w:ascii="Calibri" w:eastAsia="Calibri" w:hAnsi="Calibri" w:cs="Calibri"/>
          <w:sz w:val="22"/>
          <w:szCs w:val="22"/>
        </w:rPr>
        <w:t>,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дат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табеларни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приказ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коментарима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вези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реализације</w:t>
      </w:r>
      <w:r w:rsidR="002C40EF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2C40EF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Pr="00E97B82" w:rsidRDefault="00DD65E6" w:rsidP="00E97B82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У</w:t>
      </w:r>
      <w:r w:rsidR="0046057F" w:rsidRPr="005F3460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sr-Cyrl-BA"/>
        </w:rPr>
        <w:t>П</w:t>
      </w:r>
      <w:r>
        <w:rPr>
          <w:rFonts w:ascii="Calibri" w:eastAsia="Calibri" w:hAnsi="Calibri" w:cs="Calibri"/>
          <w:b/>
          <w:sz w:val="22"/>
          <w:szCs w:val="22"/>
        </w:rPr>
        <w:t>рилогу</w:t>
      </w:r>
      <w:r w:rsidR="001B0FEF" w:rsidRPr="005F3460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број</w:t>
      </w:r>
      <w:r w:rsidR="001B0FEF" w:rsidRPr="005F346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6057F" w:rsidRPr="005F3460">
        <w:rPr>
          <w:rFonts w:ascii="Calibri" w:eastAsia="Calibri" w:hAnsi="Calibri" w:cs="Calibri"/>
          <w:b/>
          <w:sz w:val="22"/>
          <w:szCs w:val="22"/>
          <w:lang w:val="sr-Cyrl-BA"/>
        </w:rPr>
        <w:t>5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Извјештаја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>Преглед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истеклих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раскинутих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ресурса</w:t>
      </w:r>
      <w:r w:rsidR="005E4041">
        <w:rPr>
          <w:rFonts w:ascii="Calibri" w:eastAsia="Calibri" w:hAnsi="Calibri" w:cs="Calibri"/>
          <w:sz w:val="22"/>
          <w:szCs w:val="22"/>
        </w:rPr>
        <w:t>,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табеларни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приказ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коментарима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вези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Default="00DD65E6" w:rsidP="00E97B82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наведеног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закључити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31.12.2015. </w:t>
      </w:r>
      <w:r>
        <w:rPr>
          <w:rFonts w:ascii="Calibri" w:eastAsia="Calibri" w:hAnsi="Calibri" w:cs="Calibri"/>
          <w:sz w:val="22"/>
          <w:szCs w:val="22"/>
        </w:rPr>
        <w:t>године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закључених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важећих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88 (</w:t>
      </w:r>
      <w:r>
        <w:rPr>
          <w:rFonts w:ascii="Calibri" w:eastAsia="Calibri" w:hAnsi="Calibri" w:cs="Calibri"/>
          <w:sz w:val="22"/>
          <w:szCs w:val="22"/>
        </w:rPr>
        <w:t>осамдесет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осам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). </w:t>
      </w:r>
    </w:p>
    <w:p w:rsidR="00AA6AD4" w:rsidRPr="00E97B82" w:rsidRDefault="00AA6AD4" w:rsidP="00E97B82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:rsidR="00E97B82" w:rsidRDefault="00E97B82" w:rsidP="005E4041">
      <w:pPr>
        <w:pStyle w:val="Heading3"/>
        <w:rPr>
          <w:rFonts w:ascii="Calibri" w:eastAsia="Calibri" w:hAnsi="Calibri" w:cs="Calibri"/>
          <w:sz w:val="22"/>
        </w:rPr>
      </w:pPr>
      <w:bookmarkStart w:id="46" w:name="_Toc449404328"/>
      <w:r w:rsidRPr="00E97B82">
        <w:rPr>
          <w:rFonts w:eastAsia="Cambria"/>
        </w:rPr>
        <w:t xml:space="preserve">3.3.3. </w:t>
      </w:r>
      <w:r w:rsidR="00DD65E6">
        <w:rPr>
          <w:rFonts w:eastAsia="Cambria"/>
        </w:rPr>
        <w:t>Провјера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рада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Концесионара</w:t>
      </w:r>
      <w:bookmarkEnd w:id="46"/>
      <w:r w:rsidRPr="00E97B82">
        <w:rPr>
          <w:rFonts w:ascii="Calibri" w:eastAsia="Calibri" w:hAnsi="Calibri" w:cs="Calibri"/>
          <w:sz w:val="22"/>
        </w:rPr>
        <w:tab/>
      </w:r>
    </w:p>
    <w:p w:rsidR="00E97B82" w:rsidRPr="00E97B82" w:rsidRDefault="00DD65E6" w:rsidP="00E97B82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извјештајној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2015. </w:t>
      </w:r>
      <w:r>
        <w:rPr>
          <w:rFonts w:ascii="Calibri" w:eastAsia="Calibri" w:hAnsi="Calibri" w:cs="Calibri"/>
          <w:sz w:val="22"/>
          <w:szCs w:val="22"/>
        </w:rPr>
        <w:t>години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својим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законским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овлашћењима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вршила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провјеру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сврху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континуираног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праћења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Pr="00E97B82" w:rsidRDefault="00DD65E6" w:rsidP="00E97B82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Провјера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између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осталог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анализу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достављених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података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документације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битних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дјелатности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односно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</w:t>
      </w:r>
      <w:r>
        <w:rPr>
          <w:rFonts w:ascii="Calibri" w:eastAsia="Calibri" w:hAnsi="Calibri" w:cs="Calibri"/>
          <w:sz w:val="22"/>
          <w:szCs w:val="22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Поред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тога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вршила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обилазак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тј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обилазак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локалитета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изводе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радови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Циљ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свих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квалитетно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сагледавање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проблематике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самих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достигнутог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нивоа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обавеза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дефинисаних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Pr="00E97B82" w:rsidRDefault="00DD65E6" w:rsidP="00E97B82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периоду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наставила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врши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провјеру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обративши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посебну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пажњу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одређене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показатеље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послова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извршавању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уговорених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обавеза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Провјера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обухватила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сљедеће</w:t>
      </w:r>
      <w:r w:rsidR="00E97B82" w:rsidRPr="00E97B82">
        <w:rPr>
          <w:rFonts w:ascii="Calibri" w:eastAsia="Calibri" w:hAnsi="Calibri" w:cs="Calibri"/>
          <w:sz w:val="22"/>
          <w:szCs w:val="22"/>
        </w:rPr>
        <w:t>:</w:t>
      </w:r>
    </w:p>
    <w:p w:rsidR="00E97B82" w:rsidRPr="001B0FEF" w:rsidRDefault="00DD65E6" w:rsidP="001B0FEF">
      <w:pPr>
        <w:pStyle w:val="ListParagraph"/>
        <w:numPr>
          <w:ilvl w:val="0"/>
          <w:numId w:val="25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lastRenderedPageBreak/>
        <w:t>податке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привредном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друштву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(</w:t>
      </w:r>
      <w:r>
        <w:rPr>
          <w:rFonts w:asciiTheme="minorHAnsi" w:eastAsia="Calibri" w:hAnsiTheme="minorHAnsi"/>
          <w:sz w:val="22"/>
          <w:szCs w:val="22"/>
        </w:rPr>
        <w:t>рјешење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регистрацији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актуелни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извод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из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судског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регистра</w:t>
      </w:r>
      <w:r w:rsidR="00E97B82" w:rsidRPr="001B0FEF">
        <w:rPr>
          <w:rFonts w:asciiTheme="minorHAnsi" w:eastAsia="Calibri" w:hAnsiTheme="minorHAnsi"/>
          <w:sz w:val="22"/>
          <w:szCs w:val="22"/>
        </w:rPr>
        <w:t>);</w:t>
      </w:r>
    </w:p>
    <w:p w:rsidR="00E97B82" w:rsidRPr="001B0FEF" w:rsidRDefault="00DD65E6" w:rsidP="001B0FEF">
      <w:pPr>
        <w:pStyle w:val="ListParagraph"/>
        <w:numPr>
          <w:ilvl w:val="0"/>
          <w:numId w:val="25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обавезу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уписа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права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из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уговора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концесији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на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непокретностима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јавне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евиденције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непокретностима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складу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прописима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којима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уређује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вођење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јавних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евиденција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непокретностима</w:t>
      </w:r>
      <w:r w:rsidR="00E97B82" w:rsidRPr="001B0FEF">
        <w:rPr>
          <w:rFonts w:asciiTheme="minorHAnsi" w:eastAsia="Calibri" w:hAnsiTheme="minorHAnsi"/>
          <w:sz w:val="22"/>
          <w:szCs w:val="22"/>
        </w:rPr>
        <w:t>;</w:t>
      </w:r>
    </w:p>
    <w:p w:rsidR="00E97B82" w:rsidRPr="001B0FEF" w:rsidRDefault="00DD65E6" w:rsidP="001B0FEF">
      <w:pPr>
        <w:pStyle w:val="ListParagraph"/>
        <w:numPr>
          <w:ilvl w:val="0"/>
          <w:numId w:val="25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обавезу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прибављања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дозвола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одобрења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(</w:t>
      </w:r>
      <w:r>
        <w:rPr>
          <w:rFonts w:asciiTheme="minorHAnsi" w:eastAsia="Calibri" w:hAnsiTheme="minorHAnsi"/>
          <w:sz w:val="22"/>
          <w:szCs w:val="22"/>
        </w:rPr>
        <w:t>локацијски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услови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одобрење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за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грађење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водна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дозвола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еколошка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дозвола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употребна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дозвола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за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изграђене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рударске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друге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објекте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друго</w:t>
      </w:r>
      <w:r w:rsidR="00E97B82" w:rsidRPr="001B0FEF">
        <w:rPr>
          <w:rFonts w:asciiTheme="minorHAnsi" w:eastAsia="Calibri" w:hAnsiTheme="minorHAnsi"/>
          <w:sz w:val="22"/>
          <w:szCs w:val="22"/>
        </w:rPr>
        <w:t>);</w:t>
      </w:r>
    </w:p>
    <w:p w:rsidR="00E97B82" w:rsidRPr="001B0FEF" w:rsidRDefault="00DD65E6" w:rsidP="001B0FEF">
      <w:pPr>
        <w:pStyle w:val="ListParagraph"/>
        <w:numPr>
          <w:ilvl w:val="0"/>
          <w:numId w:val="25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обавезу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рјешавања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имовинско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- </w:t>
      </w:r>
      <w:r>
        <w:rPr>
          <w:rFonts w:asciiTheme="minorHAnsi" w:eastAsia="Calibri" w:hAnsiTheme="minorHAnsi"/>
          <w:sz w:val="22"/>
          <w:szCs w:val="22"/>
        </w:rPr>
        <w:t>правних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односа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на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некретнинама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које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налазе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унутар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граница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истражног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простора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експлоатационог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поља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или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самог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предмета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концесије</w:t>
      </w:r>
      <w:r w:rsidR="00E97B82" w:rsidRPr="001B0FEF">
        <w:rPr>
          <w:rFonts w:asciiTheme="minorHAnsi" w:eastAsia="Calibri" w:hAnsiTheme="minorHAnsi"/>
          <w:sz w:val="22"/>
          <w:szCs w:val="22"/>
        </w:rPr>
        <w:t>;</w:t>
      </w:r>
    </w:p>
    <w:p w:rsidR="00E97B82" w:rsidRPr="001B0FEF" w:rsidRDefault="00DD65E6" w:rsidP="001B0FEF">
      <w:pPr>
        <w:pStyle w:val="ListParagraph"/>
        <w:numPr>
          <w:ilvl w:val="0"/>
          <w:numId w:val="25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обавезу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плаћања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концесионе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накнаде</w:t>
      </w:r>
      <w:r w:rsidR="00E97B82" w:rsidRPr="001B0FEF">
        <w:rPr>
          <w:rFonts w:asciiTheme="minorHAnsi" w:eastAsia="Calibri" w:hAnsiTheme="minorHAnsi"/>
          <w:sz w:val="22"/>
          <w:szCs w:val="22"/>
        </w:rPr>
        <w:t>;</w:t>
      </w:r>
    </w:p>
    <w:p w:rsidR="00E97B82" w:rsidRPr="001B0FEF" w:rsidRDefault="00DD65E6" w:rsidP="001B0FEF">
      <w:pPr>
        <w:pStyle w:val="ListParagraph"/>
        <w:numPr>
          <w:ilvl w:val="0"/>
          <w:numId w:val="25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обавезу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посједовања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пројектне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документације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неопходне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за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експлоатацију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коришћење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предмета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концесије</w:t>
      </w:r>
      <w:r w:rsidR="00E97B82" w:rsidRPr="001B0FEF">
        <w:rPr>
          <w:rFonts w:asciiTheme="minorHAnsi" w:eastAsia="Calibri" w:hAnsiTheme="minorHAnsi"/>
          <w:sz w:val="22"/>
          <w:szCs w:val="22"/>
        </w:rPr>
        <w:t>;</w:t>
      </w:r>
    </w:p>
    <w:p w:rsidR="00E97B82" w:rsidRPr="001B0FEF" w:rsidRDefault="00DD65E6" w:rsidP="001B0FEF">
      <w:pPr>
        <w:pStyle w:val="ListParagraph"/>
        <w:numPr>
          <w:ilvl w:val="0"/>
          <w:numId w:val="25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извршавање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уговорених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обавеза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неопходних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за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почетак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комерцијалног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рада</w:t>
      </w:r>
      <w:r w:rsidR="00E97B82" w:rsidRPr="001B0FEF">
        <w:rPr>
          <w:rFonts w:asciiTheme="minorHAnsi" w:eastAsia="Calibri" w:hAnsiTheme="minorHAnsi"/>
          <w:sz w:val="22"/>
          <w:szCs w:val="22"/>
        </w:rPr>
        <w:t>;</w:t>
      </w:r>
    </w:p>
    <w:p w:rsidR="00E97B82" w:rsidRPr="001B0FEF" w:rsidRDefault="00DD65E6" w:rsidP="001B0FEF">
      <w:pPr>
        <w:pStyle w:val="ListParagraph"/>
        <w:numPr>
          <w:ilvl w:val="0"/>
          <w:numId w:val="25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обавезу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обезбјеђења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банкарске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гаранције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за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добро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извршење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посла</w:t>
      </w:r>
      <w:r w:rsidR="00E97B82" w:rsidRPr="001B0FEF">
        <w:rPr>
          <w:rFonts w:asciiTheme="minorHAnsi" w:eastAsia="Calibri" w:hAnsiTheme="minorHAnsi"/>
          <w:sz w:val="22"/>
          <w:szCs w:val="22"/>
        </w:rPr>
        <w:t>;</w:t>
      </w:r>
    </w:p>
    <w:p w:rsidR="00E97B82" w:rsidRPr="001B0FEF" w:rsidRDefault="00DD65E6" w:rsidP="001B0FEF">
      <w:pPr>
        <w:pStyle w:val="ListParagraph"/>
        <w:numPr>
          <w:ilvl w:val="0"/>
          <w:numId w:val="25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обавезу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инвестирања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рударске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друге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објекте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складу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Студијом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економске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оправданости</w:t>
      </w:r>
      <w:r w:rsidR="00E97B82" w:rsidRPr="001B0FEF">
        <w:rPr>
          <w:rFonts w:asciiTheme="minorHAnsi" w:eastAsia="Calibri" w:hAnsiTheme="minorHAnsi"/>
          <w:sz w:val="22"/>
          <w:szCs w:val="22"/>
        </w:rPr>
        <w:t>;</w:t>
      </w:r>
    </w:p>
    <w:p w:rsidR="00E97B82" w:rsidRPr="001B0FEF" w:rsidRDefault="00DD65E6" w:rsidP="001B0FEF">
      <w:pPr>
        <w:pStyle w:val="ListParagraph"/>
        <w:numPr>
          <w:ilvl w:val="0"/>
          <w:numId w:val="25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обавезу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осигурања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објеката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постројења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од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свих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оштећења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ризика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као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обавезу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осигурања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радника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ангажованих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на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реализацији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концесионог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посла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складу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законом</w:t>
      </w:r>
      <w:r w:rsidR="00E97B82" w:rsidRPr="001B0FEF">
        <w:rPr>
          <w:rFonts w:asciiTheme="minorHAnsi" w:eastAsia="Calibri" w:hAnsiTheme="minorHAnsi"/>
          <w:sz w:val="22"/>
          <w:szCs w:val="22"/>
        </w:rPr>
        <w:t>;</w:t>
      </w:r>
    </w:p>
    <w:p w:rsidR="00E97B82" w:rsidRPr="001B0FEF" w:rsidRDefault="00DD65E6" w:rsidP="001B0FEF">
      <w:pPr>
        <w:pStyle w:val="ListParagraph"/>
        <w:numPr>
          <w:ilvl w:val="0"/>
          <w:numId w:val="25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вођење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евиденције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откопаних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маса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контрола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стања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истих</w:t>
      </w:r>
      <w:r w:rsidR="00E97B82" w:rsidRPr="001B0FEF">
        <w:rPr>
          <w:rFonts w:asciiTheme="minorHAnsi" w:eastAsia="Calibri" w:hAnsiTheme="minorHAnsi"/>
          <w:sz w:val="22"/>
          <w:szCs w:val="22"/>
        </w:rPr>
        <w:t>;</w:t>
      </w:r>
    </w:p>
    <w:p w:rsidR="00E97B82" w:rsidRPr="001B0FEF" w:rsidRDefault="00DD65E6" w:rsidP="001B0FEF">
      <w:pPr>
        <w:pStyle w:val="ListParagraph"/>
        <w:numPr>
          <w:ilvl w:val="0"/>
          <w:numId w:val="25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производњу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(</w:t>
      </w:r>
      <w:r>
        <w:rPr>
          <w:rFonts w:asciiTheme="minorHAnsi" w:eastAsia="Calibri" w:hAnsiTheme="minorHAnsi"/>
          <w:sz w:val="22"/>
          <w:szCs w:val="22"/>
        </w:rPr>
        <w:t>планирана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остварена</w:t>
      </w:r>
      <w:r w:rsidR="00E97B82" w:rsidRPr="001B0FEF">
        <w:rPr>
          <w:rFonts w:asciiTheme="minorHAnsi" w:eastAsia="Calibri" w:hAnsiTheme="minorHAnsi"/>
          <w:sz w:val="22"/>
          <w:szCs w:val="22"/>
        </w:rPr>
        <w:t>);</w:t>
      </w:r>
    </w:p>
    <w:p w:rsidR="00E97B82" w:rsidRPr="001B0FEF" w:rsidRDefault="00DD65E6" w:rsidP="001B0FEF">
      <w:pPr>
        <w:pStyle w:val="ListParagraph"/>
        <w:numPr>
          <w:ilvl w:val="0"/>
          <w:numId w:val="25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податке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броју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квалификационој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структури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запослених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(</w:t>
      </w:r>
      <w:r>
        <w:rPr>
          <w:rFonts w:asciiTheme="minorHAnsi" w:eastAsia="Calibri" w:hAnsiTheme="minorHAnsi"/>
          <w:sz w:val="22"/>
          <w:szCs w:val="22"/>
        </w:rPr>
        <w:t>достигнути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број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запослених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односу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на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планирани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Студијом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економске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оправданости</w:t>
      </w:r>
      <w:r w:rsidR="00E97B82" w:rsidRPr="001B0FEF">
        <w:rPr>
          <w:rFonts w:asciiTheme="minorHAnsi" w:eastAsia="Calibri" w:hAnsiTheme="minorHAnsi"/>
          <w:sz w:val="22"/>
          <w:szCs w:val="22"/>
        </w:rPr>
        <w:t>);</w:t>
      </w:r>
    </w:p>
    <w:p w:rsidR="00E97B82" w:rsidRPr="001B0FEF" w:rsidRDefault="00DD65E6" w:rsidP="001B0FEF">
      <w:pPr>
        <w:pStyle w:val="ListParagraph"/>
        <w:numPr>
          <w:ilvl w:val="0"/>
          <w:numId w:val="25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обавезу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рекултивације</w:t>
      </w:r>
      <w:r w:rsidR="00E97B82" w:rsidRPr="001B0FEF">
        <w:rPr>
          <w:rFonts w:asciiTheme="minorHAnsi" w:eastAsia="Calibri" w:hAnsiTheme="minorHAnsi"/>
          <w:sz w:val="22"/>
          <w:szCs w:val="22"/>
        </w:rPr>
        <w:t>;</w:t>
      </w:r>
    </w:p>
    <w:p w:rsidR="00E97B82" w:rsidRPr="001B0FEF" w:rsidRDefault="00DD65E6" w:rsidP="001B0FEF">
      <w:pPr>
        <w:pStyle w:val="ListParagraph"/>
        <w:numPr>
          <w:ilvl w:val="0"/>
          <w:numId w:val="25"/>
        </w:num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обавезу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провођења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мјера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заштите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на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раду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заштите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животне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средине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sz w:val="22"/>
          <w:szCs w:val="22"/>
        </w:rPr>
        <w:t>здравља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људи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и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материјалних</w:t>
      </w:r>
      <w:r w:rsidR="00E97B82" w:rsidRPr="001B0FEF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добара</w:t>
      </w:r>
      <w:r w:rsidR="00E97B82" w:rsidRPr="001B0FEF">
        <w:rPr>
          <w:rFonts w:asciiTheme="minorHAnsi" w:eastAsia="Calibri" w:hAnsiTheme="minorHAnsi"/>
          <w:sz w:val="22"/>
          <w:szCs w:val="22"/>
        </w:rPr>
        <w:t>.</w:t>
      </w:r>
    </w:p>
    <w:p w:rsidR="00E97B82" w:rsidRPr="00E97B82" w:rsidRDefault="00DD65E6" w:rsidP="00E97B82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Пажљивом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анализом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прикупљених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података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анализом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дошла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сљедећих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закључака</w:t>
      </w:r>
      <w:r w:rsidR="00E97B82" w:rsidRPr="00E97B82">
        <w:rPr>
          <w:rFonts w:ascii="Calibri" w:eastAsia="Calibri" w:hAnsi="Calibri" w:cs="Calibri"/>
          <w:sz w:val="22"/>
          <w:szCs w:val="22"/>
        </w:rPr>
        <w:t>:</w:t>
      </w:r>
    </w:p>
    <w:p w:rsidR="00E97B82" w:rsidRPr="00E97B82" w:rsidRDefault="00DD65E6" w:rsidP="00E97B82">
      <w:pPr>
        <w:numPr>
          <w:ilvl w:val="0"/>
          <w:numId w:val="12"/>
        </w:num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прикупљених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података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концесионим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предузећима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тј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увидом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</w:t>
      </w:r>
      <w:r>
        <w:rPr>
          <w:rFonts w:ascii="Calibri" w:eastAsia="Calibri" w:hAnsi="Calibri" w:cs="Calibri"/>
          <w:sz w:val="22"/>
          <w:szCs w:val="22"/>
        </w:rPr>
        <w:t>јешења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регистрацији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актуелн</w:t>
      </w:r>
      <w:r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извода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судск</w:t>
      </w:r>
      <w:r>
        <w:rPr>
          <w:rFonts w:ascii="Calibri" w:eastAsia="Calibri" w:hAnsi="Calibri" w:cs="Calibri"/>
          <w:sz w:val="22"/>
          <w:szCs w:val="22"/>
          <w:lang w:val="sr-Cyrl-BA"/>
        </w:rPr>
        <w:t>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регистра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евидентирала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промјене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извршене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регистрационих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судова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Посебна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пажња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усмјерена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промјена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власничке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структуре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тј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промјена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власничког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удјела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>
        <w:rPr>
          <w:rFonts w:ascii="Calibri" w:eastAsia="Calibri" w:hAnsi="Calibri" w:cs="Calibri"/>
          <w:sz w:val="22"/>
          <w:szCs w:val="22"/>
        </w:rPr>
        <w:t>Службени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гласник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“,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: 59/13), </w:t>
      </w:r>
      <w:r>
        <w:rPr>
          <w:rFonts w:ascii="Calibri" w:eastAsia="Calibri" w:hAnsi="Calibri" w:cs="Calibri"/>
          <w:sz w:val="22"/>
          <w:szCs w:val="22"/>
          <w:lang w:val="sr-Cyrl-BA"/>
        </w:rPr>
        <w:t>затим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привредна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друштва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усклађивање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дјелатности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послују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важећим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привредним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друштвима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носилац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привредно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друштво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основано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прописима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друго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периоду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утврђено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постоје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привредна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друштва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(</w:t>
      </w:r>
      <w:r w:rsidR="00357338">
        <w:rPr>
          <w:rFonts w:ascii="Calibri" w:eastAsia="Calibri" w:hAnsi="Calibri" w:cs="Calibri"/>
          <w:sz w:val="22"/>
          <w:szCs w:val="22"/>
          <w:lang w:val="sr-Cyrl-BA"/>
        </w:rPr>
        <w:t>„</w:t>
      </w:r>
      <w:r>
        <w:rPr>
          <w:rFonts w:ascii="Calibri" w:eastAsia="Calibri" w:hAnsi="Calibri" w:cs="Calibri"/>
          <w:sz w:val="22"/>
          <w:szCs w:val="22"/>
          <w:lang w:val="sr-Cyrl-BA"/>
        </w:rPr>
        <w:t>Јединство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“ </w:t>
      </w:r>
      <w:r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  <w:r>
        <w:rPr>
          <w:rFonts w:ascii="Calibri" w:eastAsia="Calibri" w:hAnsi="Calibri" w:cs="Calibri"/>
          <w:sz w:val="22"/>
          <w:szCs w:val="22"/>
          <w:lang w:val="sr-Cyrl-BA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Градишка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, „</w:t>
      </w:r>
      <w:r>
        <w:rPr>
          <w:rFonts w:ascii="Calibri" w:eastAsia="Calibri" w:hAnsi="Calibri" w:cs="Calibri"/>
          <w:sz w:val="22"/>
          <w:szCs w:val="22"/>
          <w:lang w:val="sr-Cyrl-BA"/>
        </w:rPr>
        <w:t>Планински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студенац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“ </w:t>
      </w:r>
      <w:r>
        <w:rPr>
          <w:rFonts w:ascii="Calibri" w:eastAsia="Calibri" w:hAnsi="Calibri" w:cs="Calibri"/>
          <w:sz w:val="22"/>
          <w:szCs w:val="22"/>
          <w:lang w:val="sr-Cyrl-BA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  <w:r>
        <w:rPr>
          <w:rFonts w:ascii="Calibri" w:eastAsia="Calibri" w:hAnsi="Calibri" w:cs="Calibri"/>
          <w:sz w:val="22"/>
          <w:szCs w:val="22"/>
          <w:lang w:val="sr-Cyrl-BA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  <w:r>
        <w:rPr>
          <w:rFonts w:ascii="Calibri" w:eastAsia="Calibri" w:hAnsi="Calibri" w:cs="Calibri"/>
          <w:sz w:val="22"/>
          <w:szCs w:val="22"/>
          <w:lang w:val="sr-Cyrl-BA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Цапарде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– </w:t>
      </w:r>
      <w:r>
        <w:rPr>
          <w:rFonts w:ascii="Calibri" w:eastAsia="Calibri" w:hAnsi="Calibri" w:cs="Calibri"/>
          <w:sz w:val="22"/>
          <w:szCs w:val="22"/>
          <w:lang w:val="sr-Cyrl-BA"/>
        </w:rPr>
        <w:t>Осмаци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, </w:t>
      </w:r>
      <w:r w:rsidR="00E97B82" w:rsidRPr="00E97B82">
        <w:rPr>
          <w:rFonts w:ascii="Calibri" w:eastAsia="Calibri" w:hAnsi="Calibri" w:cs="Calibri"/>
          <w:sz w:val="22"/>
          <w:szCs w:val="22"/>
          <w:lang w:val="sr-Latn-BA"/>
        </w:rPr>
        <w:t>„</w:t>
      </w:r>
      <w:r>
        <w:rPr>
          <w:rFonts w:ascii="Calibri" w:eastAsia="Calibri" w:hAnsi="Calibri" w:cs="Calibri"/>
          <w:sz w:val="22"/>
          <w:szCs w:val="22"/>
          <w:lang w:val="sr-Latn-BA"/>
        </w:rPr>
        <w:t>Теко</w:t>
      </w:r>
      <w:r w:rsidR="00E97B82" w:rsidRPr="00E97B82">
        <w:rPr>
          <w:rFonts w:ascii="Calibri" w:eastAsia="Calibri" w:hAnsi="Calibri" w:cs="Calibri"/>
          <w:sz w:val="22"/>
          <w:szCs w:val="22"/>
          <w:lang w:val="sr-Latn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Latn-BA"/>
        </w:rPr>
        <w:t>мининг</w:t>
      </w:r>
      <w:r w:rsidR="00E97B82" w:rsidRPr="00E97B82">
        <w:rPr>
          <w:rFonts w:ascii="Calibri" w:eastAsia="Calibri" w:hAnsi="Calibri" w:cs="Calibri"/>
          <w:sz w:val="22"/>
          <w:szCs w:val="22"/>
          <w:lang w:val="sr-Latn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Latn-BA"/>
        </w:rPr>
        <w:t>Лапишница</w:t>
      </w:r>
      <w:r w:rsidR="00E97B82" w:rsidRPr="00E97B82">
        <w:rPr>
          <w:rFonts w:ascii="Calibri" w:eastAsia="Calibri" w:hAnsi="Calibri" w:cs="Calibri"/>
          <w:sz w:val="22"/>
          <w:szCs w:val="22"/>
          <w:lang w:val="sr-Latn-BA"/>
        </w:rPr>
        <w:t xml:space="preserve">“ </w:t>
      </w:r>
      <w:r>
        <w:rPr>
          <w:rFonts w:ascii="Calibri" w:eastAsia="Calibri" w:hAnsi="Calibri" w:cs="Calibri"/>
          <w:sz w:val="22"/>
          <w:szCs w:val="22"/>
          <w:lang w:val="sr-Cyrl-BA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  <w:r>
        <w:rPr>
          <w:rFonts w:ascii="Calibri" w:eastAsia="Calibri" w:hAnsi="Calibri" w:cs="Calibri"/>
          <w:sz w:val="22"/>
          <w:szCs w:val="22"/>
          <w:lang w:val="sr-Cyrl-BA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  <w:r>
        <w:rPr>
          <w:rFonts w:ascii="Calibri" w:eastAsia="Calibri" w:hAnsi="Calibri" w:cs="Calibri"/>
          <w:sz w:val="22"/>
          <w:szCs w:val="22"/>
          <w:lang w:val="sr-Cyrl-BA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Источни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Стари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град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др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.) </w:t>
      </w:r>
      <w:r>
        <w:rPr>
          <w:rFonts w:ascii="Calibri" w:eastAsia="Calibri" w:hAnsi="Calibri" w:cs="Calibri"/>
          <w:sz w:val="22"/>
          <w:szCs w:val="22"/>
          <w:lang w:val="sr-Cyrl-BA"/>
        </w:rPr>
        <w:t>која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промјену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власничке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структуре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супр</w:t>
      </w:r>
      <w:r>
        <w:rPr>
          <w:rFonts w:ascii="Calibri" w:eastAsia="Calibri" w:hAnsi="Calibri" w:cs="Calibri"/>
          <w:sz w:val="22"/>
          <w:szCs w:val="22"/>
          <w:lang w:val="sr-Cyrl-BA"/>
        </w:rPr>
        <w:t>о</w:t>
      </w:r>
      <w:r>
        <w:rPr>
          <w:rFonts w:ascii="Calibri" w:eastAsia="Calibri" w:hAnsi="Calibri" w:cs="Calibri"/>
          <w:sz w:val="22"/>
          <w:szCs w:val="22"/>
        </w:rPr>
        <w:t>тно</w:t>
      </w:r>
      <w:r w:rsidR="0035733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члану</w:t>
      </w:r>
      <w:r w:rsidR="00357338">
        <w:rPr>
          <w:rFonts w:ascii="Calibri" w:eastAsia="Calibri" w:hAnsi="Calibri" w:cs="Calibri"/>
          <w:sz w:val="22"/>
          <w:szCs w:val="22"/>
        </w:rPr>
        <w:t xml:space="preserve"> 41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>
        <w:rPr>
          <w:rFonts w:ascii="Calibri" w:eastAsia="Calibri" w:hAnsi="Calibri" w:cs="Calibri"/>
          <w:sz w:val="22"/>
          <w:szCs w:val="22"/>
        </w:rPr>
        <w:t>Службени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гласник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“,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>: 59/13)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</w:t>
      </w:r>
      <w:r>
        <w:rPr>
          <w:rFonts w:ascii="Calibri" w:eastAsia="Calibri" w:hAnsi="Calibri" w:cs="Calibri"/>
          <w:sz w:val="22"/>
          <w:szCs w:val="22"/>
        </w:rPr>
        <w:t>акође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,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утврђено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(„</w:t>
      </w:r>
      <w:r>
        <w:rPr>
          <w:rFonts w:ascii="Calibri" w:eastAsia="Calibri" w:hAnsi="Calibri" w:cs="Calibri"/>
          <w:sz w:val="22"/>
          <w:szCs w:val="22"/>
          <w:lang w:val="sr-Cyrl-BA"/>
        </w:rPr>
        <w:t>Игњић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“ </w:t>
      </w:r>
      <w:r>
        <w:rPr>
          <w:rFonts w:ascii="Calibri" w:eastAsia="Calibri" w:hAnsi="Calibri" w:cs="Calibri"/>
          <w:sz w:val="22"/>
          <w:szCs w:val="22"/>
          <w:lang w:val="sr-Cyrl-BA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  <w:r>
        <w:rPr>
          <w:rFonts w:ascii="Calibri" w:eastAsia="Calibri" w:hAnsi="Calibri" w:cs="Calibri"/>
          <w:sz w:val="22"/>
          <w:szCs w:val="22"/>
          <w:lang w:val="sr-Cyrl-BA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  <w:r>
        <w:rPr>
          <w:rFonts w:ascii="Calibri" w:eastAsia="Calibri" w:hAnsi="Calibri" w:cs="Calibri"/>
          <w:sz w:val="22"/>
          <w:szCs w:val="22"/>
          <w:lang w:val="sr-Cyrl-BA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Теслић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нису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усклађивање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дјелатности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Уредбом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класификацији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дјелатности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>
        <w:rPr>
          <w:rFonts w:ascii="Calibri" w:eastAsia="Calibri" w:hAnsi="Calibri" w:cs="Calibri"/>
          <w:sz w:val="22"/>
          <w:szCs w:val="22"/>
        </w:rPr>
        <w:t>Службени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гласник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“,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: 119/2010) </w:t>
      </w:r>
      <w:r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недопустиво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Pr="00E97B82" w:rsidRDefault="00DD65E6" w:rsidP="00E97B82">
      <w:pPr>
        <w:numPr>
          <w:ilvl w:val="0"/>
          <w:numId w:val="12"/>
        </w:num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Укњижавање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катастар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непокретности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обавеза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извршио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али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привредна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друштва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дошло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предузимања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рјешавању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одредбе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Уочено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подносили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захтјев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подручним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јединицама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геодетске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управе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али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одбијени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дијелом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формално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правних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разлога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дијелом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због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lastRenderedPageBreak/>
        <w:t>непознавања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материје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службеника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геодетске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управе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других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разлога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сугерисала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неопходно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поново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под</w:t>
      </w:r>
      <w:r>
        <w:rPr>
          <w:rFonts w:ascii="Calibri" w:eastAsia="Calibri" w:hAnsi="Calibri" w:cs="Calibri"/>
          <w:sz w:val="22"/>
          <w:szCs w:val="22"/>
          <w:lang w:val="sr-Cyrl-BA"/>
        </w:rPr>
        <w:t>нијети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захтјеве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циљу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извршавања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обавезе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измјенама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допунама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одржавању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премјера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катастра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земљишта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>
        <w:rPr>
          <w:rFonts w:ascii="Calibri" w:eastAsia="Calibri" w:hAnsi="Calibri" w:cs="Calibri"/>
          <w:sz w:val="22"/>
          <w:szCs w:val="22"/>
        </w:rPr>
        <w:t>Службени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гласник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“,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>: 15/10).</w:t>
      </w:r>
    </w:p>
    <w:p w:rsidR="00E97B82" w:rsidRPr="00E97B82" w:rsidRDefault="00DD65E6" w:rsidP="00E97B82">
      <w:pPr>
        <w:numPr>
          <w:ilvl w:val="0"/>
          <w:numId w:val="12"/>
        </w:num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Провјерама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током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2015. </w:t>
      </w:r>
      <w:r>
        <w:rPr>
          <w:rFonts w:ascii="Calibri" w:eastAsia="Calibri" w:hAnsi="Calibri" w:cs="Calibri"/>
          <w:sz w:val="22"/>
          <w:szCs w:val="22"/>
        </w:rPr>
        <w:t>године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утврђено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још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увијек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одређеног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броја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проблем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непосједовањ</w:t>
      </w:r>
      <w:r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потребних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дозвола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одобрења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налазе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комерцијалном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Такође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установљено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радови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изводе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без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употребне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дозволе</w:t>
      </w:r>
      <w:r w:rsidR="00357338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35733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35733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употребне</w:t>
      </w:r>
      <w:r w:rsidR="0035733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дозволе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старости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40 (</w:t>
      </w:r>
      <w:r>
        <w:rPr>
          <w:rFonts w:ascii="Calibri" w:eastAsia="Calibri" w:hAnsi="Calibri" w:cs="Calibri"/>
          <w:sz w:val="22"/>
          <w:szCs w:val="22"/>
        </w:rPr>
        <w:t>четрдесет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више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рударске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објекте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времена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бивше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државе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z w:val="22"/>
          <w:szCs w:val="22"/>
          <w:lang w:val="sr-Cyrl-BA"/>
        </w:rPr>
        <w:t>Стиче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утисак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потребно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много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времена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обезбјеђивање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неопходно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надлежних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институција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правцу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убрзања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процедура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смањења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времена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издавања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циљем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ефикаснијег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пословања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уочити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периоду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интензивиране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инспекцијских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органа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идентификовању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рјешавању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проблема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довело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одређених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резултата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али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још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увијек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недовољн</w:t>
      </w:r>
      <w:r>
        <w:rPr>
          <w:rFonts w:ascii="Calibri" w:eastAsia="Calibri" w:hAnsi="Calibri" w:cs="Calibri"/>
          <w:sz w:val="22"/>
          <w:szCs w:val="22"/>
          <w:lang w:val="sr-Cyrl-BA"/>
        </w:rPr>
        <w:t>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наредном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периоду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неопходно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наставити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циљем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побољшања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достигнутог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стања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</w:p>
    <w:p w:rsidR="00E97B82" w:rsidRPr="00E97B82" w:rsidRDefault="00DD65E6" w:rsidP="00E97B82">
      <w:pPr>
        <w:numPr>
          <w:ilvl w:val="0"/>
          <w:numId w:val="12"/>
        </w:num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Увидом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дату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документацију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констатовала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имовинско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>правне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рјешавају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откупом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земљишта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физичких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правних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лица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експропријацијом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земљишта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пројектом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дефинисана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сировине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уговарањем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коришћења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земљишта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путем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закупа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уочила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проблеми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>
        <w:rPr>
          <w:rFonts w:ascii="Calibri" w:eastAsia="Calibri" w:hAnsi="Calibri" w:cs="Calibri"/>
          <w:sz w:val="22"/>
          <w:szCs w:val="22"/>
        </w:rPr>
        <w:t>књиж</w:t>
      </w:r>
      <w:r>
        <w:rPr>
          <w:rFonts w:ascii="Calibri" w:eastAsia="Calibri" w:hAnsi="Calibri" w:cs="Calibri"/>
          <w:sz w:val="22"/>
          <w:szCs w:val="22"/>
          <w:lang w:val="sr-Cyrl-BA"/>
        </w:rPr>
        <w:t>авања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корисника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земљишт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својини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проблем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искњижавањ</w:t>
      </w:r>
      <w:r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претходног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укњижавањ</w:t>
      </w:r>
      <w:r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новог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корисника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шумско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земљиште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крш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корисник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уписано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ЈП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„</w:t>
      </w:r>
      <w:r>
        <w:rPr>
          <w:rFonts w:ascii="Calibri" w:eastAsia="Calibri" w:hAnsi="Calibri" w:cs="Calibri"/>
          <w:sz w:val="22"/>
          <w:szCs w:val="22"/>
        </w:rPr>
        <w:t>Шуме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 </w:t>
      </w:r>
      <w:r>
        <w:rPr>
          <w:rFonts w:ascii="Calibri" w:eastAsia="Calibri" w:hAnsi="Calibri" w:cs="Calibri"/>
          <w:sz w:val="22"/>
          <w:szCs w:val="22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Соколац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односно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њихова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шумска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газдинства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z w:val="22"/>
          <w:szCs w:val="22"/>
        </w:rPr>
        <w:t>Такође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констатовано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могу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уђу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посјед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предмета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E97B82" w:rsidRPr="00E97B82">
        <w:rPr>
          <w:rFonts w:asciiTheme="minorHAnsi" w:eastAsiaTheme="minorEastAsia" w:hAnsiTheme="minorHAnsi" w:cstheme="minorBidi"/>
          <w:sz w:val="22"/>
          <w:szCs w:val="22"/>
          <w:lang w:val="sr-Cyrl-BA"/>
        </w:rPr>
        <w:t>(„</w:t>
      </w:r>
      <w:r>
        <w:rPr>
          <w:rFonts w:asciiTheme="minorHAnsi" w:eastAsiaTheme="minorEastAsia" w:hAnsiTheme="minorHAnsi" w:cstheme="minorBidi"/>
          <w:sz w:val="22"/>
          <w:szCs w:val="22"/>
          <w:lang w:val="sr-Cyrl-BA"/>
        </w:rPr>
        <w:t>Аргентум</w:t>
      </w:r>
      <w:r w:rsidR="00E97B82" w:rsidRPr="00E97B82">
        <w:rPr>
          <w:rFonts w:asciiTheme="minorHAnsi" w:eastAsiaTheme="minorEastAsia" w:hAnsiTheme="minorHAnsi" w:cstheme="minorBidi"/>
          <w:sz w:val="22"/>
          <w:szCs w:val="22"/>
          <w:lang w:val="sr-Cyrl-BA"/>
        </w:rPr>
        <w:t xml:space="preserve"> 09“ </w:t>
      </w:r>
      <w:r>
        <w:rPr>
          <w:rFonts w:asciiTheme="minorHAnsi" w:eastAsiaTheme="minorEastAsia" w:hAnsiTheme="minorHAnsi" w:cstheme="minorBidi"/>
          <w:sz w:val="22"/>
          <w:szCs w:val="22"/>
          <w:lang w:val="sr-Cyrl-BA"/>
        </w:rPr>
        <w:t>д</w:t>
      </w:r>
      <w:r w:rsidR="00E97B82" w:rsidRPr="00E97B82">
        <w:rPr>
          <w:rFonts w:asciiTheme="minorHAnsi" w:eastAsiaTheme="minorEastAsia" w:hAnsiTheme="minorHAnsi" w:cstheme="minorBidi"/>
          <w:sz w:val="22"/>
          <w:szCs w:val="22"/>
          <w:lang w:val="sr-Cyrl-BA"/>
        </w:rPr>
        <w:t>.</w:t>
      </w:r>
      <w:r>
        <w:rPr>
          <w:rFonts w:asciiTheme="minorHAnsi" w:eastAsiaTheme="minorEastAsia" w:hAnsiTheme="minorHAnsi" w:cstheme="minorBidi"/>
          <w:sz w:val="22"/>
          <w:szCs w:val="22"/>
          <w:lang w:val="sr-Cyrl-BA"/>
        </w:rPr>
        <w:t>о</w:t>
      </w:r>
      <w:r w:rsidR="00E97B82" w:rsidRPr="00E97B82">
        <w:rPr>
          <w:rFonts w:asciiTheme="minorHAnsi" w:eastAsiaTheme="minorEastAsia" w:hAnsiTheme="minorHAnsi" w:cstheme="minorBidi"/>
          <w:sz w:val="22"/>
          <w:szCs w:val="22"/>
          <w:lang w:val="sr-Cyrl-BA"/>
        </w:rPr>
        <w:t>.</w:t>
      </w:r>
      <w:r>
        <w:rPr>
          <w:rFonts w:asciiTheme="minorHAnsi" w:eastAsiaTheme="minorEastAsia" w:hAnsiTheme="minorHAnsi" w:cstheme="minorBidi"/>
          <w:sz w:val="22"/>
          <w:szCs w:val="22"/>
          <w:lang w:val="sr-Cyrl-BA"/>
        </w:rPr>
        <w:t>о</w:t>
      </w:r>
      <w:r w:rsidR="00E97B82" w:rsidRPr="00E97B82">
        <w:rPr>
          <w:rFonts w:asciiTheme="minorHAnsi" w:eastAsiaTheme="minorEastAsia" w:hAnsiTheme="minorHAnsi" w:cstheme="minorBidi"/>
          <w:sz w:val="22"/>
          <w:szCs w:val="22"/>
          <w:lang w:val="sr-Cyrl-BA"/>
        </w:rPr>
        <w:t xml:space="preserve">. </w:t>
      </w:r>
      <w:r>
        <w:rPr>
          <w:rFonts w:asciiTheme="minorHAnsi" w:eastAsiaTheme="minorEastAsia" w:hAnsiTheme="minorHAnsi" w:cstheme="minorBidi"/>
          <w:sz w:val="22"/>
          <w:szCs w:val="22"/>
          <w:lang w:val="sr-Cyrl-BA"/>
        </w:rPr>
        <w:t>Сребреница</w:t>
      </w:r>
      <w:r w:rsidR="00E97B82" w:rsidRPr="00E97B82">
        <w:rPr>
          <w:rFonts w:asciiTheme="minorHAnsi" w:eastAsiaTheme="minorEastAsia" w:hAnsiTheme="minorHAnsi" w:cstheme="minorBidi"/>
          <w:sz w:val="22"/>
          <w:szCs w:val="22"/>
          <w:lang w:val="sr-Cyrl-BA"/>
        </w:rPr>
        <w:t>),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постоје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концесионари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налазе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комерцијалном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раду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нису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ријешили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имовинско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>правн</w:t>
      </w:r>
      <w:r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</w:t>
      </w:r>
      <w:r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E97B82" w:rsidRPr="00E97B82">
        <w:rPr>
          <w:rFonts w:asciiTheme="minorHAnsi" w:eastAsiaTheme="minorEastAsia" w:hAnsiTheme="minorHAnsi" w:cstheme="minorBidi"/>
          <w:sz w:val="22"/>
          <w:szCs w:val="22"/>
          <w:lang w:val="sr-Cyrl-BA"/>
        </w:rPr>
        <w:t>(„</w:t>
      </w:r>
      <w:r>
        <w:rPr>
          <w:rFonts w:asciiTheme="minorHAnsi" w:eastAsiaTheme="minorEastAsia" w:hAnsiTheme="minorHAnsi" w:cstheme="minorBidi"/>
          <w:sz w:val="22"/>
          <w:szCs w:val="22"/>
          <w:lang w:val="sr-Cyrl-BA"/>
        </w:rPr>
        <w:t>Бијеле</w:t>
      </w:r>
      <w:r w:rsidR="00E97B82" w:rsidRPr="00E97B82">
        <w:rPr>
          <w:rFonts w:asciiTheme="minorHAnsi" w:eastAsiaTheme="minorEastAsia" w:hAnsiTheme="minorHAnsi" w:cstheme="minorBidi"/>
          <w:sz w:val="22"/>
          <w:szCs w:val="22"/>
          <w:lang w:val="sr-Cyrl-BA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sr-Cyrl-BA"/>
        </w:rPr>
        <w:t>воде</w:t>
      </w:r>
      <w:r w:rsidR="00E97B82" w:rsidRPr="00E97B82">
        <w:rPr>
          <w:rFonts w:asciiTheme="minorHAnsi" w:eastAsiaTheme="minorEastAsia" w:hAnsiTheme="minorHAnsi" w:cstheme="minorBidi"/>
          <w:sz w:val="22"/>
          <w:szCs w:val="22"/>
          <w:lang w:val="sr-Cyrl-BA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sr-Cyrl-BA"/>
        </w:rPr>
        <w:t>Каменолом</w:t>
      </w:r>
      <w:r w:rsidR="00E97B82" w:rsidRPr="00E97B82">
        <w:rPr>
          <w:rFonts w:asciiTheme="minorHAnsi" w:eastAsiaTheme="minorEastAsia" w:hAnsiTheme="minorHAnsi" w:cstheme="minorBidi"/>
          <w:sz w:val="22"/>
          <w:szCs w:val="22"/>
          <w:lang w:val="sr-Cyrl-BA"/>
        </w:rPr>
        <w:t xml:space="preserve">“ </w:t>
      </w:r>
      <w:r>
        <w:rPr>
          <w:rFonts w:asciiTheme="minorHAnsi" w:eastAsiaTheme="minorEastAsia" w:hAnsiTheme="minorHAnsi" w:cstheme="minorBidi"/>
          <w:sz w:val="22"/>
          <w:szCs w:val="22"/>
          <w:lang w:val="sr-Cyrl-BA"/>
        </w:rPr>
        <w:t>д</w:t>
      </w:r>
      <w:r w:rsidR="00E97B82" w:rsidRPr="00E97B82">
        <w:rPr>
          <w:rFonts w:asciiTheme="minorHAnsi" w:eastAsiaTheme="minorEastAsia" w:hAnsiTheme="minorHAnsi" w:cstheme="minorBidi"/>
          <w:sz w:val="22"/>
          <w:szCs w:val="22"/>
          <w:lang w:val="sr-Cyrl-BA"/>
        </w:rPr>
        <w:t>.</w:t>
      </w:r>
      <w:r>
        <w:rPr>
          <w:rFonts w:asciiTheme="minorHAnsi" w:eastAsiaTheme="minorEastAsia" w:hAnsiTheme="minorHAnsi" w:cstheme="minorBidi"/>
          <w:sz w:val="22"/>
          <w:szCs w:val="22"/>
          <w:lang w:val="sr-Cyrl-BA"/>
        </w:rPr>
        <w:t>о</w:t>
      </w:r>
      <w:r w:rsidR="00E97B82" w:rsidRPr="00E97B82">
        <w:rPr>
          <w:rFonts w:asciiTheme="minorHAnsi" w:eastAsiaTheme="minorEastAsia" w:hAnsiTheme="minorHAnsi" w:cstheme="minorBidi"/>
          <w:sz w:val="22"/>
          <w:szCs w:val="22"/>
          <w:lang w:val="sr-Cyrl-BA"/>
        </w:rPr>
        <w:t>.</w:t>
      </w:r>
      <w:r>
        <w:rPr>
          <w:rFonts w:asciiTheme="minorHAnsi" w:eastAsiaTheme="minorEastAsia" w:hAnsiTheme="minorHAnsi" w:cstheme="minorBidi"/>
          <w:sz w:val="22"/>
          <w:szCs w:val="22"/>
          <w:lang w:val="sr-Cyrl-BA"/>
        </w:rPr>
        <w:t>о</w:t>
      </w:r>
      <w:r w:rsidR="00E97B82" w:rsidRPr="00E97B82">
        <w:rPr>
          <w:rFonts w:asciiTheme="minorHAnsi" w:eastAsiaTheme="minorEastAsia" w:hAnsiTheme="minorHAnsi" w:cstheme="minorBidi"/>
          <w:sz w:val="22"/>
          <w:szCs w:val="22"/>
          <w:lang w:val="sr-Cyrl-BA"/>
        </w:rPr>
        <w:t xml:space="preserve">. </w:t>
      </w:r>
      <w:r>
        <w:rPr>
          <w:rFonts w:asciiTheme="minorHAnsi" w:eastAsiaTheme="minorEastAsia" w:hAnsiTheme="minorHAnsi" w:cstheme="minorBidi"/>
          <w:sz w:val="22"/>
          <w:szCs w:val="22"/>
          <w:lang w:val="sr-Cyrl-BA"/>
        </w:rPr>
        <w:t>Трново</w:t>
      </w:r>
      <w:r w:rsidR="00E97B82" w:rsidRPr="00E97B82">
        <w:rPr>
          <w:rFonts w:asciiTheme="minorHAnsi" w:eastAsiaTheme="minorEastAsia" w:hAnsiTheme="minorHAnsi" w:cstheme="minorBidi"/>
          <w:sz w:val="22"/>
          <w:szCs w:val="22"/>
          <w:lang w:val="sr-Cyrl-BA"/>
        </w:rPr>
        <w:t>).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z w:val="22"/>
          <w:szCs w:val="22"/>
          <w:lang w:val="sr-Cyrl-BA"/>
        </w:rPr>
        <w:t>отребно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такође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истаћи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одређени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</w:t>
      </w:r>
      <w:r>
        <w:rPr>
          <w:rFonts w:ascii="Calibri" w:eastAsia="Calibri" w:hAnsi="Calibri" w:cs="Calibri"/>
          <w:sz w:val="22"/>
          <w:szCs w:val="22"/>
        </w:rPr>
        <w:t>ривредн</w:t>
      </w:r>
      <w:r>
        <w:rPr>
          <w:rFonts w:ascii="Calibri" w:eastAsia="Calibri" w:hAnsi="Calibri" w:cs="Calibri"/>
          <w:sz w:val="22"/>
          <w:szCs w:val="22"/>
          <w:lang w:val="sr-Cyrl-BA"/>
        </w:rPr>
        <w:t>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друшта</w:t>
      </w:r>
      <w:r>
        <w:rPr>
          <w:rFonts w:ascii="Calibri" w:eastAsia="Calibri" w:hAnsi="Calibri" w:cs="Calibri"/>
          <w:sz w:val="22"/>
          <w:szCs w:val="22"/>
          <w:lang w:val="sr-Cyrl-BA"/>
        </w:rPr>
        <w:t>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која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</w:t>
      </w:r>
      <w:r>
        <w:rPr>
          <w:rFonts w:ascii="Calibri" w:eastAsia="Calibri" w:hAnsi="Calibri" w:cs="Calibri"/>
          <w:sz w:val="22"/>
          <w:szCs w:val="22"/>
        </w:rPr>
        <w:t>роводе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</w:t>
      </w:r>
      <w:r>
        <w:rPr>
          <w:rFonts w:ascii="Calibri" w:eastAsia="Calibri" w:hAnsi="Calibri" w:cs="Calibri"/>
          <w:sz w:val="22"/>
          <w:szCs w:val="22"/>
          <w:lang w:val="sr-Cyrl-BA"/>
        </w:rPr>
        <w:t>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</w:t>
      </w:r>
      <w:r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планираним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оквирима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имају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рјешене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имовинско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357338">
        <w:rPr>
          <w:rFonts w:ascii="Calibri" w:eastAsia="Calibri" w:hAnsi="Calibri" w:cs="Calibri"/>
          <w:sz w:val="22"/>
          <w:szCs w:val="22"/>
          <w:lang w:val="sr-Cyrl-BA"/>
        </w:rPr>
        <w:t>–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правне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имамо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великом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заостатку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реализује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тако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ова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уговорна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одредба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није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извршена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претходних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неколико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позитиван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помак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овом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дијелу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али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још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увијек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недовољан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</w:p>
    <w:p w:rsidR="00AA6AD4" w:rsidRDefault="00DD65E6" w:rsidP="00E97B82">
      <w:pPr>
        <w:numPr>
          <w:ilvl w:val="0"/>
          <w:numId w:val="12"/>
        </w:num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Провјером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докумената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датих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увид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закључити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обавеза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плаћања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углавном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извршава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уговореним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роковима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одређеним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закаш</w:t>
      </w:r>
      <w:r>
        <w:rPr>
          <w:rFonts w:ascii="Calibri" w:eastAsia="Calibri" w:hAnsi="Calibri" w:cs="Calibri"/>
          <w:sz w:val="22"/>
          <w:szCs w:val="22"/>
          <w:lang w:val="sr-Cyrl-BA"/>
        </w:rPr>
        <w:t>њ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  <w:lang w:val="sr-Cyrl-BA"/>
        </w:rPr>
        <w:t>њ</w:t>
      </w:r>
      <w:r>
        <w:rPr>
          <w:rFonts w:ascii="Calibri" w:eastAsia="Calibri" w:hAnsi="Calibri" w:cs="Calibri"/>
          <w:sz w:val="22"/>
          <w:szCs w:val="22"/>
        </w:rPr>
        <w:t>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Поред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тога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констатовати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нередовно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уплаћују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уопште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уплаћују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>
        <w:rPr>
          <w:rFonts w:ascii="Calibri" w:eastAsia="Calibri" w:hAnsi="Calibri" w:cs="Calibri"/>
          <w:sz w:val="22"/>
          <w:szCs w:val="22"/>
        </w:rPr>
        <w:t>Мермер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 </w:t>
      </w:r>
      <w:r>
        <w:rPr>
          <w:rFonts w:ascii="Calibri" w:eastAsia="Calibri" w:hAnsi="Calibri" w:cs="Calibri"/>
          <w:sz w:val="22"/>
          <w:szCs w:val="22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Челинац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3B17BB">
        <w:rPr>
          <w:rFonts w:ascii="Calibri" w:eastAsia="Calibri" w:hAnsi="Calibri" w:cs="Calibri"/>
          <w:sz w:val="22"/>
          <w:szCs w:val="22"/>
        </w:rPr>
        <w:t>„</w:t>
      </w:r>
      <w:r>
        <w:rPr>
          <w:rFonts w:ascii="Calibri" w:eastAsia="Calibri" w:hAnsi="Calibri" w:cs="Calibri"/>
          <w:sz w:val="22"/>
          <w:szCs w:val="22"/>
        </w:rPr>
        <w:t>Рудник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каолина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Мотајица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 </w:t>
      </w:r>
      <w:r>
        <w:rPr>
          <w:rFonts w:ascii="Calibri" w:eastAsia="Calibri" w:hAnsi="Calibri" w:cs="Calibri"/>
          <w:sz w:val="22"/>
          <w:szCs w:val="22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Кобаши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>Србац</w:t>
      </w:r>
      <w:r w:rsidR="00E97B82" w:rsidRPr="00E97B82">
        <w:rPr>
          <w:rFonts w:ascii="Calibri" w:eastAsia="Calibri" w:hAnsi="Calibri" w:cs="Calibri"/>
          <w:sz w:val="22"/>
          <w:szCs w:val="22"/>
        </w:rPr>
        <w:t>, „</w:t>
      </w:r>
      <w:r>
        <w:rPr>
          <w:rFonts w:ascii="Calibri" w:eastAsia="Calibri" w:hAnsi="Calibri" w:cs="Calibri"/>
          <w:sz w:val="22"/>
          <w:szCs w:val="22"/>
        </w:rPr>
        <w:t>Игњић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 </w:t>
      </w:r>
      <w:r>
        <w:rPr>
          <w:rFonts w:ascii="Calibri" w:eastAsia="Calibri" w:hAnsi="Calibri" w:cs="Calibri"/>
          <w:sz w:val="22"/>
          <w:szCs w:val="22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Теслић</w:t>
      </w:r>
      <w:r w:rsidR="00E97B82" w:rsidRPr="00E97B82">
        <w:rPr>
          <w:rFonts w:ascii="Calibri" w:eastAsia="Calibri" w:hAnsi="Calibri" w:cs="Calibri"/>
          <w:sz w:val="22"/>
          <w:szCs w:val="22"/>
        </w:rPr>
        <w:t>, „</w:t>
      </w:r>
      <w:r>
        <w:rPr>
          <w:rFonts w:ascii="Calibri" w:eastAsia="Calibri" w:hAnsi="Calibri" w:cs="Calibri"/>
          <w:sz w:val="22"/>
          <w:szCs w:val="22"/>
        </w:rPr>
        <w:t>Каменолом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Бијеле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 </w:t>
      </w:r>
      <w:r>
        <w:rPr>
          <w:rFonts w:ascii="Calibri" w:eastAsia="Calibri" w:hAnsi="Calibri" w:cs="Calibri"/>
          <w:sz w:val="22"/>
          <w:szCs w:val="22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Трново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други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z w:val="22"/>
          <w:szCs w:val="22"/>
        </w:rPr>
        <w:t>Даљом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анализом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утврђено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којих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проблем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пословањем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ликвидношћу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током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уочено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овлашћена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лица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Пореске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управе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вршила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контроле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поред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осталог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дијелу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начин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обрачуна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уплате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</w:p>
    <w:p w:rsidR="00E97B82" w:rsidRPr="00E97B82" w:rsidRDefault="00DD65E6" w:rsidP="00AA6AD4">
      <w:p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издатих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Рјешења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Пореске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управе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уочити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контроле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вршене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приближно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нивоу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протекле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двије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наредном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периоду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потребно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интензивирати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пољу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сигурно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довело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побољшања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повећања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нивоа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наплате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Такође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битно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истаћи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провјера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Комисије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контрола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инспекцијских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органа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утичу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ниво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извршавања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обевезе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Потребно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истаћи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обрачуна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посебну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пажњу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треба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обратити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дефинисану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цијену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ресурса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представља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основицу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обрачун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стварну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количину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експлоатисане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сировине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Из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документације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видљиво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протеклу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дошло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благог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повећања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прихода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буџет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уплаћене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минералних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ресурса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највећег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дефинисана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проценту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укупан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приход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остварен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обављањем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дјелатности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док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неколико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углавном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старијег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датума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дефинисана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јединици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мјере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Анализом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дијелу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извршавања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обавезе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констатовати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веома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битно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праћење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начина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утврђивања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основице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обрачуна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истог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Наравно</w:t>
      </w:r>
      <w:r w:rsidR="003B17BB">
        <w:rPr>
          <w:rFonts w:ascii="Calibri" w:eastAsia="Calibri" w:hAnsi="Calibri" w:cs="Calibri"/>
          <w:sz w:val="22"/>
          <w:szCs w:val="22"/>
        </w:rPr>
        <w:t>,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представља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веома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сложен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захтјева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чвршћу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сарадњу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већег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републичких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институција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Pr="00E97B82" w:rsidRDefault="00DD65E6" w:rsidP="00E97B82">
      <w:pPr>
        <w:numPr>
          <w:ilvl w:val="0"/>
          <w:numId w:val="12"/>
        </w:num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Концесионари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налазе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комерцијалном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углавном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посједују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израђену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техничку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документацију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неопходну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извођење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радова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сировине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Међутим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уочено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поред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израђене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техничке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документације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одобравања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извођења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радова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истој</w:t>
      </w:r>
      <w:r w:rsidR="00E96774">
        <w:rPr>
          <w:rFonts w:ascii="Calibri" w:eastAsia="Calibri" w:hAnsi="Calibri" w:cs="Calibri"/>
          <w:sz w:val="22"/>
          <w:szCs w:val="22"/>
        </w:rPr>
        <w:t>,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посједују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употребне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дозволе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рударске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објекте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постројења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механизацију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заостатак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радове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сировине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изводе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повремено</w:t>
      </w:r>
      <w:r w:rsidR="00E96774">
        <w:rPr>
          <w:rFonts w:ascii="Calibri" w:eastAsia="Calibri" w:hAnsi="Calibri" w:cs="Calibri"/>
          <w:sz w:val="22"/>
          <w:szCs w:val="22"/>
        </w:rPr>
        <w:t>,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углавном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посједују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одговарајућу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техничку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документацију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значи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практично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основ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извођење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радова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сировине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сматра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поред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објективних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проблема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дуготрајне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процедуре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прибављање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потребних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сагласности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одобрења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претходе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одобравању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извођења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радова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успоравају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онемогућавају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почетак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комерцијалног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предвиђеним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роковима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постоје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субјективни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разлози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</w:t>
      </w:r>
      <w:r>
        <w:rPr>
          <w:rFonts w:ascii="Calibri" w:eastAsia="Calibri" w:hAnsi="Calibri" w:cs="Calibri"/>
          <w:sz w:val="22"/>
          <w:szCs w:val="22"/>
        </w:rPr>
        <w:t>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неажурност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самих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смислу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подношења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непотпуних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захтјева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тј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недостављања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прописане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документације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</w:t>
      </w:r>
      <w:r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закључити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поступке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неопходно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убрзати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циљу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скраћења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времена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припремне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радове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бржег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почетка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комерцијалног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Такође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веома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битно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наредном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периоду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надлежног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министарства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инспекцијских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органа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краћем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времену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обезбиједила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употребне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дозволе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неопходне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законским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оквирима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924F4E" w:rsidRDefault="00DD65E6" w:rsidP="00E97B82">
      <w:pPr>
        <w:numPr>
          <w:ilvl w:val="0"/>
          <w:numId w:val="12"/>
        </w:num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више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наврата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претходним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периодима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истицала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рокови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провођење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обавеза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неопходних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почетак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комерцијалног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најчешће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добро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дефинишу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рокови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израду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пројектне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документације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реализацију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инвестиције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почетак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комерцијалног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члану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12. </w:t>
      </w:r>
      <w:r>
        <w:rPr>
          <w:rFonts w:ascii="Calibri" w:eastAsia="Calibri" w:hAnsi="Calibri" w:cs="Calibri"/>
          <w:sz w:val="22"/>
          <w:szCs w:val="22"/>
        </w:rPr>
        <w:t>Закон</w:t>
      </w:r>
      <w:r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рударству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>
        <w:rPr>
          <w:rFonts w:ascii="Calibri" w:eastAsia="Calibri" w:hAnsi="Calibri" w:cs="Calibri"/>
          <w:sz w:val="22"/>
          <w:szCs w:val="22"/>
        </w:rPr>
        <w:t>Службени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гласник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“,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: 59/12) </w:t>
      </w:r>
      <w:r>
        <w:rPr>
          <w:rFonts w:ascii="Calibri" w:eastAsia="Calibri" w:hAnsi="Calibri" w:cs="Calibri"/>
          <w:sz w:val="22"/>
          <w:szCs w:val="22"/>
        </w:rPr>
        <w:t>стоји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припремне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сировина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могу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трају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дуже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једне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шестине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времена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закључен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тим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требало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уговарати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вријеме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потребно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почетка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комерцијалног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рада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. </w:t>
      </w:r>
    </w:p>
    <w:p w:rsidR="00E97B82" w:rsidRPr="00E97B82" w:rsidRDefault="00DD65E6" w:rsidP="00924F4E">
      <w:p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sr-Cyrl-BA"/>
        </w:rPr>
        <w:lastRenderedPageBreak/>
        <w:t>Досадашње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уговарање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</w:t>
      </w:r>
      <w:r>
        <w:rPr>
          <w:rFonts w:ascii="Calibri" w:eastAsia="Calibri" w:hAnsi="Calibri" w:cs="Calibri"/>
          <w:sz w:val="22"/>
          <w:szCs w:val="22"/>
          <w:lang w:val="sr-Cyrl-BA"/>
        </w:rPr>
        <w:t>емена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почетка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комерцијалног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често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нереално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,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узима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обзир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стварно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потребно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вријеме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спровођење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свих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почетка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комерцијалног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доводи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ситуацију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изађу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оквира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представља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разлог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једнострани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раскид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Уочено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одређени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успио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реализује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уговореном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времену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поднио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надлежном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министарству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захтјев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измјену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дијелу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рокове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али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надлежно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министарство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већине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таквих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случајева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изјаснило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њиховим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захтјевима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>
        <w:rPr>
          <w:rFonts w:ascii="Calibri" w:eastAsia="Calibri" w:hAnsi="Calibri" w:cs="Calibri"/>
          <w:sz w:val="22"/>
          <w:szCs w:val="22"/>
        </w:rPr>
        <w:t>Ецо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</w:t>
      </w:r>
      <w:r w:rsidR="00E97B82" w:rsidRPr="00E97B82"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ер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 </w:t>
      </w:r>
      <w:r>
        <w:rPr>
          <w:rFonts w:ascii="Calibri" w:eastAsia="Calibri" w:hAnsi="Calibri" w:cs="Calibri"/>
          <w:sz w:val="22"/>
          <w:szCs w:val="22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Котор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Варош</w:t>
      </w:r>
      <w:r w:rsidR="00E97B82" w:rsidRPr="00E97B82">
        <w:rPr>
          <w:rFonts w:ascii="Calibri" w:eastAsia="Calibri" w:hAnsi="Calibri" w:cs="Calibri"/>
          <w:sz w:val="22"/>
          <w:szCs w:val="22"/>
        </w:rPr>
        <w:t>, „</w:t>
      </w:r>
      <w:r>
        <w:rPr>
          <w:rFonts w:ascii="Calibri" w:eastAsia="Calibri" w:hAnsi="Calibri" w:cs="Calibri"/>
          <w:sz w:val="22"/>
          <w:szCs w:val="22"/>
        </w:rPr>
        <w:t>Нискоградња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 </w:t>
      </w:r>
      <w:r>
        <w:rPr>
          <w:rFonts w:ascii="Calibri" w:eastAsia="Calibri" w:hAnsi="Calibri" w:cs="Calibri"/>
          <w:sz w:val="22"/>
          <w:szCs w:val="22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Теслић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751EAA">
        <w:rPr>
          <w:rFonts w:ascii="Calibri" w:eastAsia="Calibri" w:hAnsi="Calibri" w:cs="Calibri"/>
          <w:sz w:val="22"/>
          <w:szCs w:val="22"/>
        </w:rPr>
        <w:t>„</w:t>
      </w:r>
      <w:r>
        <w:rPr>
          <w:rFonts w:ascii="Calibri" w:eastAsia="Calibri" w:hAnsi="Calibri" w:cs="Calibri"/>
          <w:sz w:val="22"/>
          <w:szCs w:val="22"/>
        </w:rPr>
        <w:t>Романит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 </w:t>
      </w:r>
      <w:r>
        <w:rPr>
          <w:rFonts w:ascii="Calibri" w:eastAsia="Calibri" w:hAnsi="Calibri" w:cs="Calibri"/>
          <w:sz w:val="22"/>
          <w:szCs w:val="22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Хан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Пијесак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други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сматра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случајевима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објективни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разлози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продужење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рокова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узимајући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обзир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дотадашње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), </w:t>
      </w:r>
      <w:r>
        <w:rPr>
          <w:rFonts w:ascii="Calibri" w:eastAsia="Calibri" w:hAnsi="Calibri" w:cs="Calibri"/>
          <w:sz w:val="22"/>
          <w:szCs w:val="22"/>
        </w:rPr>
        <w:t>исте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треба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продужити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довео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уговорене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оквире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Иначе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битно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истаћи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старијег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датума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једној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уговорних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одредби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добила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иницијативу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измјену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допуну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дужна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року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30 (</w:t>
      </w:r>
      <w:r>
        <w:rPr>
          <w:rFonts w:ascii="Calibri" w:eastAsia="Calibri" w:hAnsi="Calibri" w:cs="Calibri"/>
          <w:sz w:val="22"/>
          <w:szCs w:val="22"/>
        </w:rPr>
        <w:t>тридесет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дана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писмено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изјасни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предложеној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иницијативи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томе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обавијести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даваоца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иницијативе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док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уговорима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новијег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датума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стоји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уколико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једна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року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30 (</w:t>
      </w:r>
      <w:r>
        <w:rPr>
          <w:rFonts w:ascii="Calibri" w:eastAsia="Calibri" w:hAnsi="Calibri" w:cs="Calibri"/>
          <w:sz w:val="22"/>
          <w:szCs w:val="22"/>
        </w:rPr>
        <w:t>тридесет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дана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пријема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приједлога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измјену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допуну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достави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одговор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приједлог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сматра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његовим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одбијањем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</w:p>
    <w:p w:rsidR="00E97B82" w:rsidRPr="00E97B82" w:rsidRDefault="00DD65E6" w:rsidP="00E97B82">
      <w:pPr>
        <w:numPr>
          <w:ilvl w:val="0"/>
          <w:numId w:val="12"/>
        </w:num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досадашњег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праћења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обавезе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обезбјеђе</w:t>
      </w:r>
      <w:r>
        <w:rPr>
          <w:rFonts w:ascii="Calibri" w:eastAsia="Calibri" w:hAnsi="Calibri" w:cs="Calibri"/>
          <w:sz w:val="22"/>
          <w:szCs w:val="22"/>
          <w:lang w:val="sr-Cyrl-BA"/>
        </w:rPr>
        <w:t>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банкарске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гаранције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добро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констатовати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већина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испоштовала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тј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банкарску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гаранцију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обезбиједио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мали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</w:t>
      </w:r>
      <w:r>
        <w:rPr>
          <w:rFonts w:ascii="Calibri" w:eastAsia="Calibri" w:hAnsi="Calibri" w:cs="Calibri"/>
          <w:sz w:val="22"/>
          <w:szCs w:val="22"/>
          <w:lang w:val="sr-Cyrl-BA"/>
        </w:rPr>
        <w:t>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Ипак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одређени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иако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обезбиједио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банкарску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гаранцију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реализовао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инвестицију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Студијом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економске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оправданости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док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обезбиједила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банкарску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гаранцију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инвестирања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Студијом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економске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оправданости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констатује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закључени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посљедње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двије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банкарска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гаранција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углавном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обезбијеђена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неопходно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убудуће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овај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проблем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употпуности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рјешити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Default="00DD65E6" w:rsidP="00E97B82">
      <w:pPr>
        <w:numPr>
          <w:ilvl w:val="0"/>
          <w:numId w:val="12"/>
        </w:num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Студијама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економске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оправданости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ушли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поступак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дефинисани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сви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значајнији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параметри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Посебно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важну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ствар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представљају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инвестициона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улагања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опрему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постројења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остале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неопходне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почетак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протеклим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наставила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одредбе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каквом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динамиком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инвестирања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одвијају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уочити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послују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планираним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оквирима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углавном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остварен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планирани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ниво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инвестирања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Такође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имамо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којих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инвестирања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</w:t>
      </w:r>
      <w:r w:rsidR="006D1799">
        <w:rPr>
          <w:rFonts w:ascii="Calibri" w:eastAsia="Calibri" w:hAnsi="Calibri" w:cs="Calibri"/>
          <w:sz w:val="22"/>
          <w:szCs w:val="22"/>
          <w:lang w:val="sr-Cyrl-BA"/>
        </w:rPr>
        <w:t>и</w:t>
      </w:r>
      <w:r>
        <w:rPr>
          <w:rFonts w:ascii="Calibri" w:eastAsia="Calibri" w:hAnsi="Calibri" w:cs="Calibri"/>
          <w:sz w:val="22"/>
          <w:szCs w:val="22"/>
        </w:rPr>
        <w:t>сана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Студијом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економске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оправданости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Наиме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имамо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концесионаре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којих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озбиљан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заостатак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реализацији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концесионог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посла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исти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готово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реализује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послују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минималним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обимом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производње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</w:t>
      </w:r>
      <w:r>
        <w:rPr>
          <w:rFonts w:ascii="Calibri" w:eastAsia="Calibri" w:hAnsi="Calibri" w:cs="Calibri"/>
          <w:sz w:val="22"/>
          <w:szCs w:val="22"/>
          <w:lang w:val="sr-Cyrl-BA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минималну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набавку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опреме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неоходна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рабљену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опрему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веома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лошем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стању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)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практично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супротности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дефинисано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Студији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претходног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закључити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ниво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инвестирање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најчешће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креће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планираним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дефинисаним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Студијом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економске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оправданости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924F4E" w:rsidRPr="00E97B82" w:rsidRDefault="00924F4E" w:rsidP="00924F4E">
      <w:p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97B82" w:rsidRPr="00E97B82" w:rsidRDefault="00DD65E6" w:rsidP="00E97B82">
      <w:pPr>
        <w:numPr>
          <w:ilvl w:val="0"/>
          <w:numId w:val="12"/>
        </w:num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обавезе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осигурања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постројења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механизације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објеката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остало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непромијењено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извјештајној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констатовати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највећи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избјегава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закључ</w:t>
      </w:r>
      <w:r w:rsidR="006D1799">
        <w:rPr>
          <w:rFonts w:ascii="Calibri" w:eastAsia="Calibri" w:hAnsi="Calibri" w:cs="Calibri"/>
          <w:sz w:val="22"/>
          <w:szCs w:val="22"/>
          <w:lang w:val="sr-Cyrl-BA"/>
        </w:rPr>
        <w:t>ива</w:t>
      </w:r>
      <w:r>
        <w:rPr>
          <w:rFonts w:ascii="Calibri" w:eastAsia="Calibri" w:hAnsi="Calibri" w:cs="Calibri"/>
          <w:sz w:val="22"/>
          <w:szCs w:val="22"/>
        </w:rPr>
        <w:t>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полиса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правдајући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високим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премијама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осигурања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представљају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озбиљан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трошак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отежаним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условима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пословања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z w:val="22"/>
          <w:szCs w:val="22"/>
          <w:lang w:val="sr-Cyrl-BA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одређеног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броја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посједују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стару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опрему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осигуравајуће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куће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желе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осигурају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сматра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треба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инсистирати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извршавању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обавезе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јер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противном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представљати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озбиљан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ризик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Обавезу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осигурања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запослених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радника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случаја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незгоде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извјештајној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извршио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највећи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Pr="00E97B82" w:rsidRDefault="00DD65E6" w:rsidP="00E97B82">
      <w:pPr>
        <w:numPr>
          <w:ilvl w:val="0"/>
          <w:numId w:val="12"/>
        </w:num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Контрола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откопаних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маса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годишњем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нивоу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верификоване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стручне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установе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треба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концедент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дефинисано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врши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констатовати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извјештајној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дошло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одређеног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помака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дијелу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геодетског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снимања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радова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,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вођењу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достављању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књига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резерви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концеденту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али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још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увијек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недовољно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утврдила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већег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мјерење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маса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врши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слободном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процјеном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материјала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кашики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утоварног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средства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помоћу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мјерних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уређаја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Из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разлога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неопходно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концендент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предузме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обавеза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контроле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откопаних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маса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одвијала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сматра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проблематика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требала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обухваћена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дефинисана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новим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рударству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сигурно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дало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резултате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овом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сегменту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пословања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концесионих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</w:p>
    <w:p w:rsidR="00E97B82" w:rsidRPr="00E97B82" w:rsidRDefault="00DD65E6" w:rsidP="00E97B82">
      <w:pPr>
        <w:numPr>
          <w:ilvl w:val="0"/>
          <w:numId w:val="12"/>
        </w:num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прикупљених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података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планираним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произведеним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количинама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сировине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стању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залиха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њиховим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поређењем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дефинисаним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Студијама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економске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оправданости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закључити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одређеног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привредних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друштава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ниво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производње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остао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планираним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Студијом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благо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повећао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док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других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дошло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пада</w:t>
      </w:r>
      <w:r w:rsidR="00B736D7">
        <w:rPr>
          <w:rFonts w:ascii="Calibri" w:eastAsia="Calibri" w:hAnsi="Calibri" w:cs="Calibri"/>
          <w:sz w:val="22"/>
          <w:szCs w:val="22"/>
        </w:rPr>
        <w:t>,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проузрокованог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смањеном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потражњом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нелојалном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конкуренцијом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  <w:lang w:val="sr-Cyrl-BA"/>
        </w:rPr>
        <w:t>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другим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разлозима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наредном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периоду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потребно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наставити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праћењем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производених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отпремљених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количина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анализом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истих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Pr="00E97B82" w:rsidRDefault="00DD65E6" w:rsidP="00E97B82">
      <w:pPr>
        <w:numPr>
          <w:ilvl w:val="0"/>
          <w:numId w:val="12"/>
        </w:num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календарској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наставила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податке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квалификационој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структури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запослених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односно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запослених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планирано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Студијом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економске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оправданости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привредних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друштава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своје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проводе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уговореним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радника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остао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нивоу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повећан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док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биљеже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пад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пословних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дошло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смањења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радника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Можемо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констатовати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важећи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имају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једног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ниједног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запосленог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радника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сматра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оваквих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случајева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потребно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преиспитати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</w:p>
    <w:p w:rsidR="00E97B82" w:rsidRPr="00E97B82" w:rsidRDefault="00DD65E6" w:rsidP="00E97B82">
      <w:pPr>
        <w:numPr>
          <w:ilvl w:val="0"/>
          <w:numId w:val="12"/>
        </w:num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календарској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настављено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</w:t>
      </w:r>
      <w:r>
        <w:rPr>
          <w:rFonts w:ascii="Calibri" w:eastAsia="Calibri" w:hAnsi="Calibri" w:cs="Calibri"/>
          <w:sz w:val="22"/>
          <w:szCs w:val="22"/>
          <w:lang w:val="sr-Cyrl-BA"/>
        </w:rPr>
        <w:t>ћење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рекултивацији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деградираног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земљишта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током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провјера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увидјела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рекултивација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вршити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Пројектом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рекултивације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деградираног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земљишта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дијеловима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лежишта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гдје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окончана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формираним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одлагалиштима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Међутим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током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обиласка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локалитета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врши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неким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дијеловима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завршена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уочене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значајне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рекултивацији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Е</w:t>
      </w:r>
      <w:r>
        <w:rPr>
          <w:rFonts w:ascii="Calibri" w:eastAsia="Calibri" w:hAnsi="Calibri" w:cs="Calibri"/>
          <w:sz w:val="22"/>
          <w:szCs w:val="22"/>
        </w:rPr>
        <w:t>ксплоатацијом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сировина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врши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трајна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деградација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земљишта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уколико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рекултивација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B736D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довело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несагледивих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посљедица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lastRenderedPageBreak/>
        <w:t>животну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средину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К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већине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закључених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одредба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обезбјеђења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рекултивације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износу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5%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годишњег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бруто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прихода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оствареног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посљедње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пословне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сматра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довољну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сигурност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ће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рекултивација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јер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уколико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дође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значајног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смањења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пословних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крајем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периода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износ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банкарске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гаранције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B736D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довољан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трошкове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рекултивације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Правилником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висини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банкарске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гаранције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електроенергетике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енергетике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рударства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геологије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>
        <w:rPr>
          <w:rFonts w:ascii="Calibri" w:eastAsia="Calibri" w:hAnsi="Calibri" w:cs="Calibri"/>
          <w:sz w:val="22"/>
          <w:szCs w:val="22"/>
        </w:rPr>
        <w:t>Службени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гласник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“,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: 67/2014) </w:t>
      </w:r>
      <w:r>
        <w:rPr>
          <w:rFonts w:ascii="Calibri" w:eastAsia="Calibri" w:hAnsi="Calibri" w:cs="Calibri"/>
          <w:sz w:val="22"/>
          <w:szCs w:val="22"/>
        </w:rPr>
        <w:t>износ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банкарске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гаранције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рекултивацију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члану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10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дефинисан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начин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B736D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гаранција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рекултивације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земљишта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предмете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рударства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одређује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износу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10%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просјечних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трошкова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одржавања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посљедње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коришћења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објеката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мишљења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ово</w:t>
      </w:r>
      <w:r w:rsidR="00B736D7">
        <w:rPr>
          <w:rFonts w:ascii="Calibri" w:eastAsia="Calibri" w:hAnsi="Calibri" w:cs="Calibri"/>
          <w:sz w:val="22"/>
          <w:szCs w:val="22"/>
        </w:rPr>
        <w:t>,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рјешење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претходном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</w:t>
      </w:r>
      <w:r>
        <w:rPr>
          <w:rFonts w:ascii="Calibri" w:eastAsia="Calibri" w:hAnsi="Calibri" w:cs="Calibri"/>
          <w:sz w:val="22"/>
          <w:szCs w:val="22"/>
        </w:rPr>
        <w:t>равилнику</w:t>
      </w:r>
      <w:r w:rsidR="00B736D7">
        <w:rPr>
          <w:rFonts w:ascii="Calibri" w:eastAsia="Calibri" w:hAnsi="Calibri" w:cs="Calibri"/>
          <w:sz w:val="22"/>
          <w:szCs w:val="22"/>
        </w:rPr>
        <w:t>,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добро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гаранцију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ће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рекултивација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извршена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Такође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поставити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питање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просјечни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трошкови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одржавања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начин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одредити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колики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њихов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износ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најважније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довољан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рекултивацију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дужи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временски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перид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предлаже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могућ</w:t>
      </w:r>
      <w:r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рјешење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проблема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издвајањем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средстава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годишњем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нивоу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износу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планиран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Пројектом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рекултивације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дало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већу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сигурност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ће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рекултивација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извршити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Pr="00B736D7" w:rsidRDefault="00DD65E6" w:rsidP="00E97B82">
      <w:pPr>
        <w:numPr>
          <w:ilvl w:val="0"/>
          <w:numId w:val="12"/>
        </w:numPr>
        <w:tabs>
          <w:tab w:val="left" w:pos="540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констатовати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провођење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мјера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заштите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животне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средине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здравља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људи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материјалних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добара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вишем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нивоу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прошлогодишњег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тј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дошло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одређених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помака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претходну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каменолома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посједују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постројења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дробљење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класирање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камена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имали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постројење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отпрашивање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дошло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рјешавања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проблема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инсталирањем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чиме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спријечен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негативан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утицај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прераде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сировине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животну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средину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здравље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људи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Треба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истаћи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још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увијек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постоје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којих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овај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проблем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неопходно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надлежних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органа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њиховом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рјешавању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Уочено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сваке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врши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континуирани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мониторинг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утицаја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сировина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животну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средину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поступа</w:t>
      </w:r>
      <w:r w:rsidR="00B736D7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налазу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мониторинга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Поред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свега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наведеног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м</w:t>
      </w:r>
      <w:r>
        <w:rPr>
          <w:rFonts w:ascii="Calibri" w:eastAsia="Calibri" w:hAnsi="Calibri" w:cs="Calibri"/>
          <w:sz w:val="22"/>
          <w:szCs w:val="22"/>
        </w:rPr>
        <w:t>оже</w:t>
      </w:r>
      <w:r>
        <w:rPr>
          <w:rFonts w:ascii="Calibri" w:eastAsia="Calibri" w:hAnsi="Calibri" w:cs="Calibri"/>
          <w:sz w:val="22"/>
          <w:szCs w:val="22"/>
          <w:lang w:val="sr-Cyrl-BA"/>
        </w:rPr>
        <w:t>мо</w:t>
      </w:r>
      <w:r w:rsidR="002D2A41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констатовати</w:t>
      </w:r>
      <w:r w:rsidR="002D2A41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неопходно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појачати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инспекцијских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органа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терену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циљу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даљег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побољшања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стања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овој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Pr="00BF433F" w:rsidRDefault="00E97B82" w:rsidP="00BF433F">
      <w:pPr>
        <w:pStyle w:val="Heading3"/>
        <w:rPr>
          <w:rFonts w:eastAsia="Cambria"/>
        </w:rPr>
      </w:pPr>
      <w:bookmarkStart w:id="47" w:name="_Toc449404329"/>
      <w:r w:rsidRPr="00E97B82">
        <w:rPr>
          <w:rFonts w:eastAsia="Cambria"/>
        </w:rPr>
        <w:t xml:space="preserve">3.3.4. </w:t>
      </w:r>
      <w:r w:rsidR="00DD65E6">
        <w:rPr>
          <w:rFonts w:eastAsia="Cambria"/>
        </w:rPr>
        <w:t>Преглед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актуелних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проблема</w:t>
      </w:r>
      <w:r w:rsidRPr="00E97B82">
        <w:rPr>
          <w:rFonts w:eastAsia="Cambria"/>
        </w:rPr>
        <w:t xml:space="preserve">, </w:t>
      </w:r>
      <w:r w:rsidR="00DD65E6">
        <w:rPr>
          <w:rFonts w:eastAsia="Cambria"/>
        </w:rPr>
        <w:t>који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су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присутни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код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реализације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Уговора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о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концесији</w:t>
      </w:r>
      <w:bookmarkEnd w:id="47"/>
    </w:p>
    <w:p w:rsidR="00380142" w:rsidRDefault="00DD65E6" w:rsidP="00E97B82">
      <w:pPr>
        <w:spacing w:after="120"/>
        <w:jc w:val="both"/>
        <w:rPr>
          <w:rFonts w:ascii="Calibri" w:eastAsia="Calibri" w:hAnsi="Calibri" w:cs="Calibri"/>
          <w:sz w:val="22"/>
          <w:szCs w:val="22"/>
          <w:lang w:val="sr-Cyrl-BA"/>
        </w:rPr>
      </w:pP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оквиру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својих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надлежности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циљем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обезбјеђења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стабилног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пословања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треба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доведе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раста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развоја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извјештајној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идентификовању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проблема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њиховој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анализи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Пажња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усмјерена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остале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сегменте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пословања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битни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</w:p>
    <w:p w:rsidR="00E97B82" w:rsidRPr="00E97B82" w:rsidRDefault="00DD65E6" w:rsidP="00E97B82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пажљиве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анализе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уоченог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стања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дајемо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преглед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актуелних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проблема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присутних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сљедеће</w:t>
      </w:r>
      <w:r w:rsidR="00E97B82" w:rsidRPr="00E97B82">
        <w:rPr>
          <w:rFonts w:ascii="Calibri" w:eastAsia="Calibri" w:hAnsi="Calibri" w:cs="Calibri"/>
          <w:sz w:val="22"/>
          <w:szCs w:val="22"/>
        </w:rPr>
        <w:t>:</w:t>
      </w:r>
    </w:p>
    <w:p w:rsidR="00E97B82" w:rsidRPr="00E97B82" w:rsidRDefault="00DD65E6" w:rsidP="00E97B82">
      <w:pPr>
        <w:numPr>
          <w:ilvl w:val="0"/>
          <w:numId w:val="13"/>
        </w:numPr>
        <w:tabs>
          <w:tab w:val="left" w:pos="540"/>
        </w:tabs>
        <w:spacing w:after="120" w:line="276" w:lineRule="auto"/>
        <w:ind w:left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извјештајној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2015. </w:t>
      </w:r>
      <w:r>
        <w:rPr>
          <w:rFonts w:ascii="Calibri" w:eastAsia="Calibri" w:hAnsi="Calibri" w:cs="Calibri"/>
          <w:sz w:val="22"/>
          <w:szCs w:val="22"/>
        </w:rPr>
        <w:t>години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дошло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рјешавања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одређеног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броја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предмета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одвијала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старих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</w:t>
      </w:r>
      <w:r>
        <w:rPr>
          <w:rFonts w:ascii="Calibri" w:eastAsia="Calibri" w:hAnsi="Calibri" w:cs="Calibri"/>
          <w:sz w:val="22"/>
          <w:szCs w:val="22"/>
        </w:rPr>
        <w:t>јешења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експлоатацију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њиховог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превођења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чиме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престала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важе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>
        <w:rPr>
          <w:rFonts w:ascii="Calibri" w:eastAsia="Calibri" w:hAnsi="Calibri" w:cs="Calibri"/>
          <w:sz w:val="22"/>
          <w:szCs w:val="22"/>
        </w:rPr>
        <w:t>Приједорпутеви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 </w:t>
      </w:r>
      <w:r>
        <w:rPr>
          <w:rFonts w:ascii="Calibri" w:eastAsia="Calibri" w:hAnsi="Calibri" w:cs="Calibri"/>
          <w:sz w:val="22"/>
          <w:szCs w:val="22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Приједор</w:t>
      </w:r>
      <w:r w:rsidR="00E97B82" w:rsidRPr="00E97B82">
        <w:rPr>
          <w:rFonts w:ascii="Calibri" w:eastAsia="Calibri" w:hAnsi="Calibri" w:cs="Calibri"/>
          <w:sz w:val="22"/>
          <w:szCs w:val="22"/>
        </w:rPr>
        <w:t>, „</w:t>
      </w:r>
      <w:r>
        <w:rPr>
          <w:rFonts w:ascii="Calibri" w:eastAsia="Calibri" w:hAnsi="Calibri" w:cs="Calibri"/>
          <w:sz w:val="22"/>
          <w:szCs w:val="22"/>
        </w:rPr>
        <w:t>Браћа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Џелић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 </w:t>
      </w:r>
      <w:r>
        <w:rPr>
          <w:rFonts w:ascii="Calibri" w:eastAsia="Calibri" w:hAnsi="Calibri" w:cs="Calibri"/>
          <w:sz w:val="22"/>
          <w:szCs w:val="22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други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z w:val="22"/>
          <w:szCs w:val="22"/>
        </w:rPr>
        <w:t>Међутим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прикупљених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података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закључити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сировина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одвија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таквих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</w:t>
      </w:r>
      <w:r>
        <w:rPr>
          <w:rFonts w:ascii="Calibri" w:eastAsia="Calibri" w:hAnsi="Calibri" w:cs="Calibri"/>
          <w:sz w:val="22"/>
          <w:szCs w:val="22"/>
        </w:rPr>
        <w:t>јешења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издатих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важећом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законском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регулативом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без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lastRenderedPageBreak/>
        <w:t>закључених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Напомињемо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важећим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рударству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>
        <w:rPr>
          <w:rFonts w:ascii="Calibri" w:eastAsia="Calibri" w:hAnsi="Calibri" w:cs="Calibri"/>
          <w:sz w:val="22"/>
          <w:szCs w:val="22"/>
        </w:rPr>
        <w:t>Службени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гласник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“,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: 59/12)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>
        <w:rPr>
          <w:rFonts w:ascii="Calibri" w:eastAsia="Calibri" w:hAnsi="Calibri" w:cs="Calibri"/>
          <w:sz w:val="22"/>
          <w:szCs w:val="22"/>
        </w:rPr>
        <w:t>Службени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гласник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“,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: 59/13) </w:t>
      </w:r>
      <w:r>
        <w:rPr>
          <w:rFonts w:ascii="Calibri" w:eastAsia="Calibri" w:hAnsi="Calibri" w:cs="Calibri"/>
          <w:sz w:val="22"/>
          <w:szCs w:val="22"/>
        </w:rPr>
        <w:t>одређен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рок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</w:t>
      </w:r>
      <w:r>
        <w:rPr>
          <w:rFonts w:ascii="Calibri" w:eastAsia="Calibri" w:hAnsi="Calibri" w:cs="Calibri"/>
          <w:sz w:val="22"/>
          <w:szCs w:val="22"/>
        </w:rPr>
        <w:t>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треба</w:t>
      </w:r>
      <w:r>
        <w:rPr>
          <w:rFonts w:ascii="Calibri" w:eastAsia="Calibri" w:hAnsi="Calibri" w:cs="Calibri"/>
          <w:sz w:val="22"/>
          <w:szCs w:val="22"/>
          <w:lang w:val="sr-Cyrl-BA"/>
        </w:rPr>
        <w:t>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поднијети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захтјев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додјелу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рок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поступци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треба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заврше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сматра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протекло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довољно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времена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поступци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окончали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извођење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радова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практично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нелегалн</w:t>
      </w:r>
      <w:r>
        <w:rPr>
          <w:rFonts w:ascii="Calibri" w:eastAsia="Calibri" w:hAnsi="Calibri" w:cs="Calibri"/>
          <w:sz w:val="22"/>
          <w:szCs w:val="22"/>
          <w:lang w:val="sr-Cyrl-BA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случајевима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гдје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постојали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објективни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разлози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поступци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додјеле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концесије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заврше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прописаном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времену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потребно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их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прије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окончати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тамо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гдје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разлога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нема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неопходно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инспекцијских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органа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прописане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мјере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Pr="00E97B82" w:rsidRDefault="00DD65E6" w:rsidP="00E97B82">
      <w:pPr>
        <w:numPr>
          <w:ilvl w:val="0"/>
          <w:numId w:val="13"/>
        </w:numPr>
        <w:tabs>
          <w:tab w:val="left" w:pos="540"/>
        </w:tabs>
        <w:spacing w:after="120" w:line="276" w:lineRule="auto"/>
        <w:ind w:left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Провјером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дијелу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извођење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радова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дошла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сазнања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врши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нелегегална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сировина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супротно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важећој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законској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регулативи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Све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неповољно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утиче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стварајући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нелојалну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конкуренцију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Нелегална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углавном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техничко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2D2A41">
        <w:rPr>
          <w:rFonts w:ascii="Calibri" w:eastAsia="Calibri" w:hAnsi="Calibri" w:cs="Calibri"/>
          <w:sz w:val="22"/>
          <w:szCs w:val="22"/>
        </w:rPr>
        <w:t>–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грађевински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камен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архитектонско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2D2A41">
        <w:rPr>
          <w:rFonts w:ascii="Calibri" w:eastAsia="Calibri" w:hAnsi="Calibri" w:cs="Calibri"/>
          <w:sz w:val="22"/>
          <w:szCs w:val="22"/>
        </w:rPr>
        <w:t>–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грађевински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камен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шљунак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пијесак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геотермалну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потребе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бањског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лијечења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глину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друго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сазнања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којих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дошла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констатовати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проблем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нелегалне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подручју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шумских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газдинстава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гдје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експлоатише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насипни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камен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потребе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насипања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шумских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путева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континуи</w:t>
      </w:r>
      <w:r>
        <w:rPr>
          <w:rFonts w:ascii="Calibri" w:eastAsia="Calibri" w:hAnsi="Calibri" w:cs="Calibri"/>
          <w:sz w:val="22"/>
          <w:szCs w:val="22"/>
          <w:lang w:val="sr-Cyrl-BA"/>
        </w:rPr>
        <w:t>рано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прати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посебну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пажњу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усмјерава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овај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проблем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,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истиче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неопходност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сталног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ангажовања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инспекцијских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органа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терену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јачу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законску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институционалну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сваку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другу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подршку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требало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наредном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периоду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дове</w:t>
      </w:r>
      <w:r>
        <w:rPr>
          <w:rFonts w:ascii="Calibri" w:eastAsia="Calibri" w:hAnsi="Calibri" w:cs="Calibri"/>
          <w:sz w:val="22"/>
          <w:szCs w:val="22"/>
          <w:lang w:val="sr-Cyrl-BA"/>
        </w:rPr>
        <w:t>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смањења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случајева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нелегалне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експлоатације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Мо</w:t>
      </w:r>
      <w:r>
        <w:rPr>
          <w:rFonts w:ascii="Calibri" w:eastAsia="Calibri" w:hAnsi="Calibri" w:cs="Calibri"/>
          <w:sz w:val="22"/>
          <w:szCs w:val="22"/>
        </w:rPr>
        <w:t>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извјештајној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неких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позитивних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помака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али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још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увијек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није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задовољавајућем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нивоу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</w:p>
    <w:p w:rsidR="00E97B82" w:rsidRPr="00E97B82" w:rsidRDefault="00DD65E6" w:rsidP="00E97B82">
      <w:pPr>
        <w:numPr>
          <w:ilvl w:val="0"/>
          <w:numId w:val="13"/>
        </w:numPr>
        <w:tabs>
          <w:tab w:val="left" w:pos="540"/>
        </w:tabs>
        <w:spacing w:after="120" w:line="276" w:lineRule="auto"/>
        <w:ind w:left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sr-Cyrl-BA"/>
        </w:rPr>
        <w:t>Н</w:t>
      </w:r>
      <w:r>
        <w:rPr>
          <w:rFonts w:ascii="Calibri" w:eastAsia="Calibri" w:hAnsi="Calibri" w:cs="Calibri"/>
          <w:sz w:val="22"/>
          <w:szCs w:val="22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података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располаже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извјештајној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2015. </w:t>
      </w:r>
      <w:r>
        <w:rPr>
          <w:rFonts w:ascii="Calibri" w:eastAsia="Calibri" w:hAnsi="Calibri" w:cs="Calibri"/>
          <w:sz w:val="22"/>
          <w:szCs w:val="22"/>
          <w:lang w:val="sr-Cyrl-BA"/>
        </w:rPr>
        <w:t>години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констатовати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дошло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помака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питању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окончања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поступака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додјеле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трају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дужи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временски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период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налазили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некој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фаза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додјеле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</w:t>
      </w:r>
      <w:r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Међутим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тај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проблем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задовољавајућем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нивоу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неопходно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поступци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окончали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најкраћем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временском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року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гдје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није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могуће</w:t>
      </w:r>
      <w:r w:rsidR="00BF433F">
        <w:rPr>
          <w:rFonts w:ascii="Calibri" w:eastAsia="Calibri" w:hAnsi="Calibri" w:cs="Calibri"/>
          <w:sz w:val="22"/>
          <w:szCs w:val="22"/>
          <w:lang w:val="sr-Cyrl-BA"/>
        </w:rPr>
        <w:t>,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обуставили</w:t>
      </w:r>
      <w:r w:rsidR="00DF4DF1">
        <w:rPr>
          <w:rFonts w:ascii="Calibri" w:eastAsia="Calibri" w:hAnsi="Calibri" w:cs="Calibri"/>
          <w:sz w:val="22"/>
          <w:szCs w:val="22"/>
          <w:lang w:val="sr-Cyrl-BA"/>
        </w:rPr>
        <w:t>,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4F12E3"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понуђач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упутили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4F12E3">
        <w:rPr>
          <w:rFonts w:ascii="Calibri" w:eastAsia="Calibri" w:hAnsi="Calibri" w:cs="Calibri"/>
          <w:sz w:val="22"/>
          <w:szCs w:val="22"/>
          <w:lang w:val="sr-Cyrl-BA"/>
        </w:rPr>
        <w:t>(</w:t>
      </w:r>
      <w:r>
        <w:rPr>
          <w:rFonts w:ascii="Calibri" w:eastAsia="Calibri" w:hAnsi="Calibri" w:cs="Calibri"/>
          <w:sz w:val="22"/>
          <w:szCs w:val="22"/>
          <w:lang w:val="sr-Cyrl-BA"/>
        </w:rPr>
        <w:t>уколико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интерес</w:t>
      </w:r>
      <w:r w:rsidR="004F12E3">
        <w:rPr>
          <w:rFonts w:ascii="Calibri" w:eastAsia="Calibri" w:hAnsi="Calibri" w:cs="Calibri"/>
          <w:sz w:val="22"/>
          <w:szCs w:val="22"/>
          <w:lang w:val="sr-Cyrl-BA"/>
        </w:rPr>
        <w:t>)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додјелу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новом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законском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процедуром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све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циљу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коначног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рјешавања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овог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проблема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</w:p>
    <w:p w:rsidR="00E97B82" w:rsidRPr="00E97B82" w:rsidRDefault="00DD65E6" w:rsidP="00E97B82">
      <w:pPr>
        <w:numPr>
          <w:ilvl w:val="0"/>
          <w:numId w:val="13"/>
        </w:numPr>
        <w:tabs>
          <w:tab w:val="left" w:pos="540"/>
        </w:tabs>
        <w:spacing w:after="120" w:line="276" w:lineRule="auto"/>
        <w:ind w:left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привредних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друштава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чија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претежна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дјелатност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обављање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послова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грађевинарства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резерва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вези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начина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обрачуна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Ова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извођење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грађевинских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радова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највећи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дио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експлоатисане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сировине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користе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властите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потребе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провјерама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утврдила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цијен</w:t>
      </w:r>
      <w:r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ровног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материјала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фракција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са</w:t>
      </w:r>
      <w:r w:rsidR="00DF4DF1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којом</w:t>
      </w:r>
      <w:r w:rsidR="00DF4DF1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концесионари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калкулишу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испод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тржишних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вриједности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утиче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смањење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основице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саму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Како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прописано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контролу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обрачуна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уплате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врши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Пореска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управа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неопходно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било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случајевима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гдје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утврди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нереално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ниска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цијена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производа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узети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обзир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јединичне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цијене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фракција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утврђивања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основице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обрачун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дефинисане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Студијом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економске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оправданости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јер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исте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концесија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додијељена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Мишљења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могуће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рјешење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могло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бити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измјен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одредбе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којом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дефинише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начин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утврђивања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lastRenderedPageBreak/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тако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наканада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дефинисала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јединици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мјере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проценту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укупан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приход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Pr="00E97B82" w:rsidRDefault="00DD65E6" w:rsidP="00E97B82">
      <w:pPr>
        <w:numPr>
          <w:ilvl w:val="0"/>
          <w:numId w:val="13"/>
        </w:numPr>
        <w:tabs>
          <w:tab w:val="left" w:pos="540"/>
        </w:tabs>
        <w:spacing w:after="120" w:line="276" w:lineRule="auto"/>
        <w:ind w:left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коришћења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извјештајној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долазило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значајнијег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помака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поређењу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претходни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период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комерцијалном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биљежи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стагнација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производњи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отпреми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установљено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дужи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временски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период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повремено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минималним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капацитетом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>
        <w:rPr>
          <w:rFonts w:ascii="Calibri" w:eastAsia="Calibri" w:hAnsi="Calibri" w:cs="Calibri"/>
          <w:sz w:val="22"/>
          <w:szCs w:val="22"/>
        </w:rPr>
        <w:t>Инстел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 </w:t>
      </w:r>
      <w:r>
        <w:rPr>
          <w:rFonts w:ascii="Calibri" w:eastAsia="Calibri" w:hAnsi="Calibri" w:cs="Calibri"/>
          <w:sz w:val="22"/>
          <w:szCs w:val="22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Чајниче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„</w:t>
      </w:r>
      <w:r>
        <w:rPr>
          <w:rFonts w:ascii="Calibri" w:eastAsia="Calibri" w:hAnsi="Calibri" w:cs="Calibri"/>
          <w:sz w:val="22"/>
          <w:szCs w:val="22"/>
        </w:rPr>
        <w:t>Круна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 </w:t>
      </w:r>
      <w:r>
        <w:rPr>
          <w:rFonts w:ascii="Calibri" w:eastAsia="Calibri" w:hAnsi="Calibri" w:cs="Calibri"/>
          <w:sz w:val="22"/>
          <w:szCs w:val="22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Мркоњић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Град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z w:val="22"/>
          <w:szCs w:val="22"/>
        </w:rPr>
        <w:t>Такође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имамо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случај</w:t>
      </w:r>
      <w:r>
        <w:rPr>
          <w:rFonts w:ascii="Calibri" w:eastAsia="Calibri" w:hAnsi="Calibri" w:cs="Calibri"/>
          <w:sz w:val="22"/>
          <w:szCs w:val="22"/>
          <w:lang w:val="sr-Cyrl-BA"/>
        </w:rPr>
        <w:t>еве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гдје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посједују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изграђене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објекте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постројења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флаширање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али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била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комерцијалном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>
        <w:rPr>
          <w:rFonts w:ascii="Calibri" w:eastAsia="Calibri" w:hAnsi="Calibri" w:cs="Calibri"/>
          <w:sz w:val="22"/>
          <w:szCs w:val="22"/>
        </w:rPr>
        <w:t>Високоалкалне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z w:val="22"/>
          <w:szCs w:val="22"/>
        </w:rPr>
        <w:t>УА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АЛЦА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 </w:t>
      </w:r>
      <w:r>
        <w:rPr>
          <w:rFonts w:ascii="Calibri" w:eastAsia="Calibri" w:hAnsi="Calibri" w:cs="Calibri"/>
          <w:sz w:val="22"/>
          <w:szCs w:val="22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Дервента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„</w:t>
      </w:r>
      <w:r>
        <w:rPr>
          <w:rFonts w:ascii="Calibri" w:eastAsia="Calibri" w:hAnsi="Calibri" w:cs="Calibri"/>
          <w:sz w:val="22"/>
          <w:szCs w:val="22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z w:val="22"/>
          <w:szCs w:val="22"/>
        </w:rPr>
        <w:t>УА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ЛИФЕ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 </w:t>
      </w:r>
      <w:r>
        <w:rPr>
          <w:rFonts w:ascii="Calibri" w:eastAsia="Calibri" w:hAnsi="Calibri" w:cs="Calibri"/>
          <w:sz w:val="22"/>
          <w:szCs w:val="22"/>
        </w:rPr>
        <w:t>д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Соколац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стање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овој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утиче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нелојална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конкуренција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земаља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окружења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Федерације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Босне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Херцеговине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sr-Cyrl-BA"/>
        </w:rPr>
        <w:t>затим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недостатак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обртних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средстава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предимензионисаност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капацитета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друго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Pr="008E76B8" w:rsidRDefault="00DD65E6" w:rsidP="00E97B82">
      <w:pPr>
        <w:numPr>
          <w:ilvl w:val="0"/>
          <w:numId w:val="13"/>
        </w:numPr>
        <w:tabs>
          <w:tab w:val="left" w:pos="540"/>
        </w:tabs>
        <w:spacing w:after="120" w:line="276" w:lineRule="auto"/>
        <w:ind w:left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пут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напомиње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>
        <w:rPr>
          <w:rFonts w:ascii="Calibri" w:eastAsia="Calibri" w:hAnsi="Calibri" w:cs="Calibri"/>
          <w:sz w:val="22"/>
          <w:szCs w:val="22"/>
        </w:rPr>
        <w:t>Службени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гласник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“,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: 59/13)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предмет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дефинисано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коришћење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јавног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добра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односно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вађење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материјала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водотока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шљунка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пијеска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камена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према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Програму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уређења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водотока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коришћење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земљишта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привредних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дјелатности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других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предмета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констатовати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протеклом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периоду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предузимане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правцу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увођења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вађење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материјала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водотока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), </w:t>
      </w:r>
      <w:r>
        <w:rPr>
          <w:rFonts w:ascii="Calibri" w:eastAsia="Calibri" w:hAnsi="Calibri" w:cs="Calibri"/>
          <w:sz w:val="22"/>
          <w:szCs w:val="22"/>
        </w:rPr>
        <w:t>односно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немамо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закључених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земљама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окружења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сасвим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другачија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ситуација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гдје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закључено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неколико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стотина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Законом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>
        <w:rPr>
          <w:rFonts w:ascii="Calibri" w:eastAsia="Calibri" w:hAnsi="Calibri" w:cs="Calibri"/>
          <w:sz w:val="22"/>
          <w:szCs w:val="22"/>
        </w:rPr>
        <w:t>Службени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гласник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“, </w:t>
      </w:r>
      <w:r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: 50/06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92/09) </w:t>
      </w:r>
      <w:r>
        <w:rPr>
          <w:rFonts w:ascii="Calibri" w:eastAsia="Calibri" w:hAnsi="Calibri" w:cs="Calibri"/>
          <w:sz w:val="22"/>
          <w:szCs w:val="22"/>
        </w:rPr>
        <w:t>дефинише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дислокација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вађење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материјала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коритима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земљишту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дозвољена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обиму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начин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уређује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корито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земљиште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служи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спровођењу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мјера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заштите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издатих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водоправних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аката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терену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имамо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сасвим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другачију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ситуацију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тако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врши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уређење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корита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водног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земљишта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дозвољеном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обиму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већ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под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плаштом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тога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врши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нелегална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апсолутно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</w:t>
      </w:r>
      <w:r>
        <w:rPr>
          <w:rFonts w:ascii="Calibri" w:eastAsia="Calibri" w:hAnsi="Calibri" w:cs="Calibri"/>
          <w:sz w:val="22"/>
          <w:szCs w:val="22"/>
          <w:lang w:val="sr-Cyrl-BA"/>
        </w:rPr>
        <w:t>ским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прописима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sr-Cyrl-BA"/>
        </w:rPr>
        <w:t>Можемо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рећи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практично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нелегалн</w:t>
      </w:r>
      <w:r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експлоатациј</w:t>
      </w:r>
      <w:r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уколико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постоје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Рјешења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вађење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материјала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издатих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„</w:t>
      </w:r>
      <w:r>
        <w:rPr>
          <w:rFonts w:ascii="Calibri" w:eastAsia="Calibri" w:hAnsi="Calibri" w:cs="Calibri"/>
          <w:sz w:val="22"/>
          <w:szCs w:val="22"/>
        </w:rPr>
        <w:t>Воде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 </w:t>
      </w:r>
      <w:r>
        <w:rPr>
          <w:rFonts w:ascii="Calibri" w:eastAsia="Calibri" w:hAnsi="Calibri" w:cs="Calibri"/>
          <w:sz w:val="22"/>
          <w:szCs w:val="22"/>
        </w:rPr>
        <w:t>Бијељина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злоупотреба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истих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Истичемо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неопходно</w:t>
      </w:r>
      <w:r>
        <w:rPr>
          <w:rFonts w:ascii="Calibri" w:eastAsia="Calibri" w:hAnsi="Calibri" w:cs="Calibri"/>
          <w:sz w:val="22"/>
          <w:szCs w:val="22"/>
          <w:lang w:val="sr-Cyrl-BA"/>
        </w:rPr>
        <w:t>ст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увођење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оквире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елиминације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утврђених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неправилности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далеко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интензивније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ангажовање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инспекцијских</w:t>
      </w:r>
      <w:r w:rsidR="008E76B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органа</w:t>
      </w:r>
      <w:r w:rsidR="008E76B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8E76B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циљу</w:t>
      </w:r>
      <w:r w:rsidR="008E76B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спрјечавања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побољшања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постојећег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</w:p>
    <w:p w:rsidR="00E97B82" w:rsidRPr="008E76B8" w:rsidRDefault="00E97B82" w:rsidP="008E76B8">
      <w:pPr>
        <w:pStyle w:val="Heading3"/>
        <w:rPr>
          <w:rFonts w:eastAsia="Cambria"/>
        </w:rPr>
      </w:pPr>
      <w:bookmarkStart w:id="48" w:name="_Toc449404330"/>
      <w:r w:rsidRPr="00E97B82">
        <w:rPr>
          <w:rFonts w:eastAsia="Cambria"/>
        </w:rPr>
        <w:t xml:space="preserve">3.3.5. </w:t>
      </w:r>
      <w:r w:rsidR="00DD65E6">
        <w:rPr>
          <w:rFonts w:eastAsia="Cambria"/>
        </w:rPr>
        <w:t>Преглед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активности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на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реализацији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Уговора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о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концесији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из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области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минералних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ресурса</w:t>
      </w:r>
      <w:bookmarkEnd w:id="48"/>
    </w:p>
    <w:p w:rsidR="00E97B82" w:rsidRPr="00E97B82" w:rsidRDefault="00DD65E6" w:rsidP="00E97B82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У</w:t>
      </w:r>
      <w:r w:rsidR="00E97B82" w:rsidRPr="005F3460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sr-Cyrl-BA"/>
        </w:rPr>
        <w:t>П</w:t>
      </w:r>
      <w:r>
        <w:rPr>
          <w:rFonts w:ascii="Calibri" w:eastAsia="Calibri" w:hAnsi="Calibri" w:cs="Calibri"/>
          <w:b/>
          <w:sz w:val="22"/>
          <w:szCs w:val="22"/>
        </w:rPr>
        <w:t>рилогу</w:t>
      </w:r>
      <w:r w:rsidR="00E97B82" w:rsidRPr="005F3460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број</w:t>
      </w:r>
      <w:r w:rsidR="001B0FEF" w:rsidRPr="005F346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F3460" w:rsidRPr="005F3460">
        <w:rPr>
          <w:rFonts w:ascii="Calibri" w:eastAsia="Calibri" w:hAnsi="Calibri" w:cs="Calibri"/>
          <w:b/>
          <w:sz w:val="22"/>
          <w:szCs w:val="22"/>
          <w:lang w:val="sr-Cyrl-BA"/>
        </w:rPr>
        <w:t>4</w:t>
      </w:r>
      <w:r w:rsidR="005F3460">
        <w:rPr>
          <w:rFonts w:ascii="Calibri" w:eastAsia="Calibri" w:hAnsi="Calibri" w:cs="Calibri"/>
          <w:sz w:val="22"/>
          <w:szCs w:val="22"/>
        </w:rPr>
        <w:t xml:space="preserve"> 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Комисије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2015. </w:t>
      </w:r>
      <w:r>
        <w:rPr>
          <w:rFonts w:ascii="Calibri" w:eastAsia="Calibri" w:hAnsi="Calibri" w:cs="Calibri"/>
          <w:sz w:val="22"/>
          <w:szCs w:val="22"/>
        </w:rPr>
        <w:t>годину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 </w:t>
      </w:r>
      <w:r>
        <w:rPr>
          <w:rFonts w:ascii="Calibri" w:eastAsia="Calibri" w:hAnsi="Calibri" w:cs="Calibri"/>
          <w:sz w:val="22"/>
          <w:szCs w:val="22"/>
        </w:rPr>
        <w:t>дат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табеларни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преглед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реализацији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ресурса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2015. </w:t>
      </w:r>
      <w:r>
        <w:rPr>
          <w:rFonts w:ascii="Calibri" w:eastAsia="Calibri" w:hAnsi="Calibri" w:cs="Calibri"/>
          <w:sz w:val="22"/>
          <w:szCs w:val="22"/>
        </w:rPr>
        <w:t>години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</w:p>
    <w:p w:rsidR="00E97B82" w:rsidRPr="008E76B8" w:rsidRDefault="00E97B82" w:rsidP="008E76B8">
      <w:pPr>
        <w:pStyle w:val="Heading3"/>
        <w:rPr>
          <w:rFonts w:eastAsia="Cambria"/>
        </w:rPr>
      </w:pPr>
      <w:bookmarkStart w:id="49" w:name="_Toc449404331"/>
      <w:r w:rsidRPr="00E97B82">
        <w:rPr>
          <w:rFonts w:eastAsia="Cambria"/>
        </w:rPr>
        <w:lastRenderedPageBreak/>
        <w:t xml:space="preserve">3.3.6. </w:t>
      </w:r>
      <w:r w:rsidR="00DD65E6">
        <w:rPr>
          <w:rFonts w:eastAsia="Cambria"/>
        </w:rPr>
        <w:t>Преглед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истеклих</w:t>
      </w:r>
      <w:r w:rsidRPr="00E97B82">
        <w:rPr>
          <w:rFonts w:eastAsia="Cambria"/>
        </w:rPr>
        <w:t xml:space="preserve">, </w:t>
      </w:r>
      <w:r w:rsidR="00DD65E6">
        <w:rPr>
          <w:rFonts w:eastAsia="Cambria"/>
        </w:rPr>
        <w:t>престалих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са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важењем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и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раскинутих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Уговора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из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области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минералних</w:t>
      </w:r>
      <w:r w:rsidRPr="00E97B82">
        <w:rPr>
          <w:rFonts w:eastAsia="Cambria"/>
        </w:rPr>
        <w:t xml:space="preserve"> </w:t>
      </w:r>
      <w:r w:rsidR="00DD65E6">
        <w:rPr>
          <w:rFonts w:eastAsia="Cambria"/>
        </w:rPr>
        <w:t>ресурса</w:t>
      </w:r>
      <w:bookmarkEnd w:id="49"/>
    </w:p>
    <w:p w:rsidR="008E76B8" w:rsidRPr="008E76B8" w:rsidRDefault="00DD65E6" w:rsidP="00E97B82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У</w:t>
      </w:r>
      <w:r w:rsidR="005F3460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sr-Cyrl-BA"/>
        </w:rPr>
        <w:t>П</w:t>
      </w:r>
      <w:r>
        <w:rPr>
          <w:rFonts w:ascii="Calibri" w:eastAsia="Calibri" w:hAnsi="Calibri" w:cs="Calibri"/>
          <w:b/>
          <w:sz w:val="22"/>
          <w:szCs w:val="22"/>
        </w:rPr>
        <w:t>рилогу</w:t>
      </w:r>
      <w:r w:rsidR="001B0FEF" w:rsidRPr="005F3460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број</w:t>
      </w:r>
      <w:r w:rsidR="001B0FEF" w:rsidRPr="005F346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F3460" w:rsidRPr="005F3460">
        <w:rPr>
          <w:rFonts w:ascii="Calibri" w:eastAsia="Calibri" w:hAnsi="Calibri" w:cs="Calibri"/>
          <w:b/>
          <w:sz w:val="22"/>
          <w:szCs w:val="22"/>
          <w:lang w:val="sr-Cyrl-BA"/>
        </w:rPr>
        <w:t>5</w:t>
      </w:r>
      <w:r w:rsidR="005F3460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Извјештаја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Комисије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2015. </w:t>
      </w:r>
      <w:r>
        <w:rPr>
          <w:rFonts w:ascii="Calibri" w:eastAsia="Calibri" w:hAnsi="Calibri" w:cs="Calibri"/>
          <w:sz w:val="22"/>
          <w:szCs w:val="22"/>
        </w:rPr>
        <w:t>годину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дат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табеларни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преглед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истеклих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престалих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важењем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раскинутих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2015. </w:t>
      </w:r>
      <w:r>
        <w:rPr>
          <w:rFonts w:ascii="Calibri" w:eastAsia="Calibri" w:hAnsi="Calibri" w:cs="Calibri"/>
          <w:sz w:val="22"/>
          <w:szCs w:val="22"/>
        </w:rPr>
        <w:t>години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Pr="00E97B82" w:rsidRDefault="00E97B82" w:rsidP="008E76B8">
      <w:pPr>
        <w:pStyle w:val="Heading3"/>
        <w:rPr>
          <w:rFonts w:eastAsia="Cambria"/>
        </w:rPr>
      </w:pPr>
      <w:bookmarkStart w:id="50" w:name="_Toc449404332"/>
      <w:r w:rsidRPr="00E97B82">
        <w:rPr>
          <w:rFonts w:eastAsia="Cambria"/>
        </w:rPr>
        <w:t xml:space="preserve">3.3.7. </w:t>
      </w:r>
      <w:r w:rsidR="00DD65E6">
        <w:rPr>
          <w:rFonts w:eastAsia="Cambria"/>
        </w:rPr>
        <w:t>Закључци</w:t>
      </w:r>
      <w:bookmarkEnd w:id="50"/>
    </w:p>
    <w:p w:rsidR="00E97B82" w:rsidRPr="00E97B82" w:rsidRDefault="008E76B8" w:rsidP="00E97B82">
      <w:pPr>
        <w:numPr>
          <w:ilvl w:val="0"/>
          <w:numId w:val="14"/>
        </w:numPr>
        <w:tabs>
          <w:tab w:val="left" w:pos="540"/>
        </w:tabs>
        <w:spacing w:after="120" w:line="276" w:lineRule="auto"/>
        <w:ind w:left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Нелегална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експлоатација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одвија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супротности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важећом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законском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регулативом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даље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представља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озбиљан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проблем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оптерећује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реализацију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закључених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доводе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неравноправан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положај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јер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тај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начин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ствара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нелојална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конкуренција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</w:rPr>
        <w:t>Нелегална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експлоатција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највише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присутна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експлоатациј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техничког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0851F1">
        <w:rPr>
          <w:rFonts w:ascii="Calibri" w:eastAsia="Calibri" w:hAnsi="Calibri" w:cs="Calibri"/>
          <w:sz w:val="22"/>
          <w:szCs w:val="22"/>
        </w:rPr>
        <w:t>–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грађевинског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камена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архитектонско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0851F1">
        <w:rPr>
          <w:rFonts w:ascii="Calibri" w:eastAsia="Calibri" w:hAnsi="Calibri" w:cs="Calibri"/>
          <w:sz w:val="22"/>
          <w:szCs w:val="22"/>
        </w:rPr>
        <w:t>–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грађевинског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камена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шљунка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пијеска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кварцног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пијеска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експлоатациј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геотермалних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вода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потребе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бањског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лијечења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разних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врста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глина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другог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</w:rPr>
        <w:t>Идентификовани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проблем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дужи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временски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период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захтијева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додатне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напоре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инспекцијских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органа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терену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јачу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институционалну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законску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сваку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другу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подршку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како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ријешио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Pr="00E97B82" w:rsidRDefault="008E76B8" w:rsidP="00E97B82">
      <w:pPr>
        <w:numPr>
          <w:ilvl w:val="0"/>
          <w:numId w:val="14"/>
        </w:numPr>
        <w:tabs>
          <w:tab w:val="left" w:pos="540"/>
        </w:tabs>
        <w:spacing w:after="120" w:line="276" w:lineRule="auto"/>
        <w:ind w:left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Вађење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материјала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водотока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</w:t>
      </w:r>
      <w:r w:rsidR="00DD65E6">
        <w:rPr>
          <w:rFonts w:ascii="Calibri" w:eastAsia="Calibri" w:hAnsi="Calibri" w:cs="Calibri"/>
          <w:sz w:val="22"/>
          <w:szCs w:val="22"/>
        </w:rPr>
        <w:t>шљунка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пијеска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камена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 w:rsidR="00DD65E6">
        <w:rPr>
          <w:rFonts w:ascii="Calibri" w:eastAsia="Calibri" w:hAnsi="Calibri" w:cs="Calibri"/>
          <w:sz w:val="22"/>
          <w:szCs w:val="22"/>
        </w:rPr>
        <w:t>према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Програму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уређења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водотока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Законом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концесијама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дефинисано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предмет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концесије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контатовати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2015.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г</w:t>
      </w:r>
      <w:r w:rsidR="00DD65E6">
        <w:rPr>
          <w:rFonts w:ascii="Calibri" w:eastAsia="Calibri" w:hAnsi="Calibri" w:cs="Calibri"/>
          <w:sz w:val="22"/>
          <w:szCs w:val="22"/>
        </w:rPr>
        <w:t>одини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нису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предузимане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увођењу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концесиони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одно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с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значи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практично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још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увијек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немамо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закључених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земљама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окружења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другачија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ситуација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гдје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неколико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стотина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закључених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</w:rPr>
        <w:t>Законом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водама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 w:rsidR="00DD65E6">
        <w:rPr>
          <w:rFonts w:ascii="Calibri" w:eastAsia="Calibri" w:hAnsi="Calibri" w:cs="Calibri"/>
          <w:sz w:val="22"/>
          <w:szCs w:val="22"/>
        </w:rPr>
        <w:t>Службени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гласник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“, </w:t>
      </w:r>
      <w:r w:rsidR="00DD65E6"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: 50/06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92/09) </w:t>
      </w:r>
      <w:r w:rsidR="00DD65E6">
        <w:rPr>
          <w:rFonts w:ascii="Calibri" w:eastAsia="Calibri" w:hAnsi="Calibri" w:cs="Calibri"/>
          <w:sz w:val="22"/>
          <w:szCs w:val="22"/>
        </w:rPr>
        <w:t>дефинише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дислокација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вађење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материјала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коритима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водном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земљишту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дозвољена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обиму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начин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којим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уређује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корито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земљиште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ако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служи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спровођењу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мјера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заштите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издатих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водоправних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аката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терену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имамо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сасвим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другачију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ситуацију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гдје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практично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врши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уређење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корита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водног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земљишта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дозвољеном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обиму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већ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 </w:t>
      </w:r>
      <w:r w:rsidR="00DD65E6"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врши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нелегална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експлоатација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апсолутно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Законом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</w:rPr>
        <w:t>Сматрамо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ради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нелегалној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експлоатацији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злоупотреби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Рјешења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вађење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материјала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издатих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стране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„</w:t>
      </w:r>
      <w:r w:rsidR="00DD65E6">
        <w:rPr>
          <w:rFonts w:ascii="Calibri" w:eastAsia="Calibri" w:hAnsi="Calibri" w:cs="Calibri"/>
          <w:sz w:val="22"/>
          <w:szCs w:val="22"/>
        </w:rPr>
        <w:t>Воде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 </w:t>
      </w:r>
      <w:r w:rsidR="00DD65E6">
        <w:rPr>
          <w:rFonts w:ascii="Calibri" w:eastAsia="Calibri" w:hAnsi="Calibri" w:cs="Calibri"/>
          <w:sz w:val="22"/>
          <w:szCs w:val="22"/>
        </w:rPr>
        <w:t>Бијељина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Сматрамо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неопходно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увести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концесион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оквир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ради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увођења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реда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елиминације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уочених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појава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потребно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далеко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веће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ангажовање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инспекцијских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органа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терену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</w:p>
    <w:p w:rsidR="00500EF6" w:rsidRPr="00500EF6" w:rsidRDefault="008E76B8" w:rsidP="00E97B82">
      <w:pPr>
        <w:numPr>
          <w:ilvl w:val="0"/>
          <w:numId w:val="14"/>
        </w:numPr>
        <w:tabs>
          <w:tab w:val="left" w:pos="540"/>
        </w:tabs>
        <w:spacing w:after="120" w:line="276" w:lineRule="auto"/>
        <w:ind w:left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Висина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врста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висина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начин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обезбјеђења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банкарске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гаранције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областима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електроенергетике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енергетике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рударства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г</w:t>
      </w:r>
      <w:r w:rsidR="00DD65E6">
        <w:rPr>
          <w:rFonts w:ascii="Calibri" w:eastAsia="Calibri" w:hAnsi="Calibri" w:cs="Calibri"/>
          <w:sz w:val="22"/>
          <w:szCs w:val="22"/>
        </w:rPr>
        <w:t>еологије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одређени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Правилником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висини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банкарске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гаранције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електроенергетике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енергетике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рударства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геологије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(„</w:t>
      </w:r>
      <w:r w:rsidR="00DD65E6">
        <w:rPr>
          <w:rFonts w:ascii="Calibri" w:eastAsia="Calibri" w:hAnsi="Calibri" w:cs="Calibri"/>
          <w:sz w:val="22"/>
          <w:szCs w:val="22"/>
        </w:rPr>
        <w:t>Службени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гласник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“, </w:t>
      </w:r>
      <w:r w:rsidR="00DD65E6">
        <w:rPr>
          <w:rFonts w:ascii="Calibri" w:eastAsia="Calibri" w:hAnsi="Calibri" w:cs="Calibri"/>
          <w:sz w:val="22"/>
          <w:szCs w:val="22"/>
        </w:rPr>
        <w:t>број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: 67/14). </w:t>
      </w:r>
    </w:p>
    <w:p w:rsidR="00E97B82" w:rsidRPr="00E97B82" w:rsidRDefault="00DD65E6" w:rsidP="00500EF6">
      <w:pPr>
        <w:tabs>
          <w:tab w:val="left" w:pos="540"/>
        </w:tabs>
        <w:spacing w:after="120" w:line="276" w:lineRule="auto"/>
        <w:ind w:left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обавезан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елеменат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састоји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једнократне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уступљено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право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коришћење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Анализирајући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горе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поменути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Правилник</w:t>
      </w:r>
      <w:r w:rsidR="008E76B8">
        <w:rPr>
          <w:rFonts w:ascii="Calibri" w:eastAsia="Calibri" w:hAnsi="Calibri" w:cs="Calibri"/>
          <w:sz w:val="22"/>
          <w:szCs w:val="22"/>
        </w:rPr>
        <w:t>,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сматра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начин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дефинисана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једног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критеријума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вриједност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планиране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инвестиције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није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добар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одређивања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исте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треба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узети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обзир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друге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веома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битне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елементе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вријеме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трајања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периода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планирани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годишњи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lastRenderedPageBreak/>
        <w:t>приход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вријеме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трајања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концесији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друго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Правилником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одређена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коришћење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износу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3,6%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укупног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годишњег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прихода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оствареног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обављањем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дјелатности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без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обзира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ради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електроенергетике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енергетике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рударства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геологије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чиме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узете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обзир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специфичности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појединих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напомиње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законским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рјешењима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могуће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изразити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јединици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мјере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појединих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случајева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може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далеко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сврсисходније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евентуално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процентом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укупан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приход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корекцију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подзаконског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акта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уважио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sr-Cyrl-BA"/>
        </w:rPr>
        <w:t>уочене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недостатке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односе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оснивања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повезаних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правних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лица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произвољно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одређивање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цијена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производа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основице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обрачун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давање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нереално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великих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рабата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производе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доношење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одлука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цијени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производа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основице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обрачун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  <w:lang w:val="sr-Cyrl-BA"/>
        </w:rPr>
        <w:t>с</w:t>
      </w:r>
      <w:r>
        <w:rPr>
          <w:rFonts w:ascii="Calibri" w:eastAsia="Calibri" w:hAnsi="Calibri" w:cs="Calibri"/>
          <w:sz w:val="22"/>
          <w:szCs w:val="22"/>
        </w:rPr>
        <w:t>упротно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дефинисан</w:t>
      </w:r>
      <w:r>
        <w:rPr>
          <w:rFonts w:ascii="Calibri" w:eastAsia="Calibri" w:hAnsi="Calibri" w:cs="Calibri"/>
          <w:sz w:val="22"/>
          <w:szCs w:val="22"/>
          <w:lang w:val="sr-Cyrl-BA"/>
        </w:rPr>
        <w:t>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Студији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економске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оправданости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), </w:t>
      </w:r>
      <w:r>
        <w:rPr>
          <w:rFonts w:ascii="Calibri" w:eastAsia="Calibri" w:hAnsi="Calibri" w:cs="Calibri"/>
          <w:sz w:val="22"/>
          <w:szCs w:val="22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циљем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умањења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обавеза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основу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Правилник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практично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уважио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врло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битну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чињеницу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направио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разлику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између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обновљивих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необновљивих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минералних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ресурса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одеђивања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>висине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Мишљења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смо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неопходно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приступути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измјени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Правилника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доношењу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новог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уважио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све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претходно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наведене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примједбе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ову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област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уредио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бољи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начин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Pr="00E97B82" w:rsidRDefault="001A3997" w:rsidP="00E97B82">
      <w:pPr>
        <w:numPr>
          <w:ilvl w:val="0"/>
          <w:numId w:val="14"/>
        </w:numPr>
        <w:tabs>
          <w:tab w:val="left" w:pos="540"/>
        </w:tabs>
        <w:spacing w:after="120" w:line="276" w:lineRule="auto"/>
        <w:ind w:left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нцесиона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која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послују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области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грађевинарства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која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извођење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грађевинских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радова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највећи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дио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експлоатисане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минералне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сировине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користе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властите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потребе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врше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обрачун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складу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Студијом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економске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оправданости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.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Ц</w:t>
      </w:r>
      <w:r w:rsidR="00DD65E6">
        <w:rPr>
          <w:rFonts w:ascii="Calibri" w:eastAsia="Calibri" w:hAnsi="Calibri" w:cs="Calibri"/>
          <w:sz w:val="22"/>
          <w:szCs w:val="22"/>
        </w:rPr>
        <w:t>ијене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ровног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материјала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фракција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са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којом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концесионари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калкулишу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испод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тржишних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вриједности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утиче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смањење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износа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основице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концесион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накнад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</w:rPr>
        <w:t>Како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Законом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прописано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контролу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обрачуна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уплате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врши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Пореска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управа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Републике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Српске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неопходно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било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таквих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случајева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обратити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посебну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пажњу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контролом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узети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обзир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јединичне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цијене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фракција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дефинисане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Студијом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економске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оправданости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утврђивање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основице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обрачун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накнаде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</w:rPr>
        <w:t>Мишљења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смо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могуће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рјешење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могло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бити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измјен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одредбе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којом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дефинише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начин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утврђивања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концесионе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накнад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тако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што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се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концесиона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наканада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дефинисала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јединици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мјере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процентом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укупан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приход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500EF6" w:rsidRPr="00500EF6" w:rsidRDefault="001A3997" w:rsidP="00E97B82">
      <w:pPr>
        <w:numPr>
          <w:ilvl w:val="0"/>
          <w:numId w:val="14"/>
        </w:numPr>
        <w:tabs>
          <w:tab w:val="left" w:pos="540"/>
        </w:tabs>
        <w:spacing w:after="120" w:line="276" w:lineRule="auto"/>
        <w:ind w:left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већине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старијег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датума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обезбјеђење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рекултивације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уговорено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износу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5% </w:t>
      </w:r>
      <w:r w:rsidR="00DD65E6"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годишњег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бруто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прихода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оствареног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посљедње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три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пословне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године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</w:rPr>
        <w:t>Комисија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сматра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то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даје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довољну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сигурност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ће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рекултивација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бити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извршена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</w:rPr>
        <w:t>Примјера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ради</w:t>
      </w:r>
      <w:r>
        <w:rPr>
          <w:rFonts w:ascii="Calibri" w:eastAsia="Calibri" w:hAnsi="Calibri" w:cs="Calibri"/>
          <w:sz w:val="22"/>
          <w:szCs w:val="22"/>
        </w:rPr>
        <w:t>,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смањењем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пословних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концесионара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посљедње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три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године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пословања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средствима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банкарске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гаранције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би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било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могуће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извршити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рекултивацију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E97B82" w:rsidRPr="00E97B82" w:rsidRDefault="00E97B82" w:rsidP="00500EF6">
      <w:pPr>
        <w:tabs>
          <w:tab w:val="left" w:pos="540"/>
        </w:tabs>
        <w:spacing w:after="120" w:line="276" w:lineRule="auto"/>
        <w:ind w:left="540"/>
        <w:jc w:val="both"/>
        <w:rPr>
          <w:rFonts w:ascii="Calibri" w:eastAsia="Calibri" w:hAnsi="Calibri" w:cs="Calibri"/>
          <w:sz w:val="22"/>
          <w:szCs w:val="22"/>
        </w:rPr>
      </w:pP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Правилником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висини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концесионе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накнаде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банкарске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гаранције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области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електроенергетике</w:t>
      </w:r>
      <w:r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енергетике</w:t>
      </w:r>
      <w:r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рударства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геологије</w:t>
      </w:r>
      <w:r w:rsidRPr="00E97B82">
        <w:rPr>
          <w:rFonts w:ascii="Calibri" w:eastAsia="Calibri" w:hAnsi="Calibri" w:cs="Calibri"/>
          <w:sz w:val="22"/>
          <w:szCs w:val="22"/>
        </w:rPr>
        <w:t xml:space="preserve"> („</w:t>
      </w:r>
      <w:r w:rsidR="00DD65E6">
        <w:rPr>
          <w:rFonts w:ascii="Calibri" w:eastAsia="Calibri" w:hAnsi="Calibri" w:cs="Calibri"/>
          <w:sz w:val="22"/>
          <w:szCs w:val="22"/>
        </w:rPr>
        <w:t>Службени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гласник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Републике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Српске</w:t>
      </w:r>
      <w:r w:rsidRPr="00E97B82">
        <w:rPr>
          <w:rFonts w:ascii="Calibri" w:eastAsia="Calibri" w:hAnsi="Calibri" w:cs="Calibri"/>
          <w:sz w:val="22"/>
          <w:szCs w:val="22"/>
        </w:rPr>
        <w:t xml:space="preserve">“, </w:t>
      </w:r>
      <w:r w:rsidR="00DD65E6">
        <w:rPr>
          <w:rFonts w:ascii="Calibri" w:eastAsia="Calibri" w:hAnsi="Calibri" w:cs="Calibri"/>
          <w:sz w:val="22"/>
          <w:szCs w:val="22"/>
        </w:rPr>
        <w:t>број</w:t>
      </w:r>
      <w:r w:rsidRPr="00E97B82">
        <w:rPr>
          <w:rFonts w:ascii="Calibri" w:eastAsia="Calibri" w:hAnsi="Calibri" w:cs="Calibri"/>
          <w:sz w:val="22"/>
          <w:szCs w:val="22"/>
        </w:rPr>
        <w:t xml:space="preserve">: 67/14) </w:t>
      </w:r>
      <w:r w:rsidR="00DD65E6">
        <w:rPr>
          <w:rFonts w:ascii="Calibri" w:eastAsia="Calibri" w:hAnsi="Calibri" w:cs="Calibri"/>
          <w:sz w:val="22"/>
          <w:szCs w:val="22"/>
        </w:rPr>
        <w:t>који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се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примјењ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ује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код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одређивања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банкарске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гаранције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рекултривацију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новим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уговорима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концесији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дефинисан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о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је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гаранција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извршење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рекултивације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земљишта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предмете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концесије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из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области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рударства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одређује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износу</w:t>
      </w:r>
      <w:r w:rsidRPr="00E97B82">
        <w:rPr>
          <w:rFonts w:ascii="Calibri" w:eastAsia="Calibri" w:hAnsi="Calibri" w:cs="Calibri"/>
          <w:sz w:val="22"/>
          <w:szCs w:val="22"/>
        </w:rPr>
        <w:t xml:space="preserve"> 10% </w:t>
      </w:r>
      <w:r w:rsidR="00DD65E6">
        <w:rPr>
          <w:rFonts w:ascii="Calibri" w:eastAsia="Calibri" w:hAnsi="Calibri" w:cs="Calibri"/>
          <w:sz w:val="22"/>
          <w:szCs w:val="22"/>
        </w:rPr>
        <w:t>од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просјечних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трошкова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одржавања</w:t>
      </w:r>
      <w:r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М</w:t>
      </w:r>
      <w:r w:rsidR="00DD65E6">
        <w:rPr>
          <w:rFonts w:ascii="Calibri" w:eastAsia="Calibri" w:hAnsi="Calibri" w:cs="Calibri"/>
          <w:sz w:val="22"/>
          <w:szCs w:val="22"/>
        </w:rPr>
        <w:t>ишљења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смо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је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сама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формулација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банкарске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гаранције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непрецизна</w:t>
      </w:r>
      <w:r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што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собом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повлачи</w:t>
      </w:r>
      <w:r w:rsidRPr="00E97B82">
        <w:rPr>
          <w:rFonts w:ascii="Calibri" w:eastAsia="Calibri" w:hAnsi="Calibri" w:cs="Calibri"/>
          <w:sz w:val="22"/>
          <w:szCs w:val="22"/>
        </w:rPr>
        <w:t xml:space="preserve">  </w:t>
      </w:r>
      <w:r w:rsidR="00DD65E6">
        <w:rPr>
          <w:rFonts w:ascii="Calibri" w:eastAsia="Calibri" w:hAnsi="Calibri" w:cs="Calibri"/>
          <w:sz w:val="22"/>
          <w:szCs w:val="22"/>
        </w:rPr>
        <w:t>питање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који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су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то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lastRenderedPageBreak/>
        <w:t>трошкови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одржавања</w:t>
      </w:r>
      <w:r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како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их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одредити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ли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је</w:t>
      </w:r>
      <w:r w:rsidRPr="00E97B82">
        <w:rPr>
          <w:rFonts w:ascii="Calibri" w:eastAsia="Calibri" w:hAnsi="Calibri" w:cs="Calibri"/>
          <w:sz w:val="22"/>
          <w:szCs w:val="22"/>
        </w:rPr>
        <w:t xml:space="preserve"> 10% </w:t>
      </w:r>
      <w:r w:rsidR="00DD65E6">
        <w:rPr>
          <w:rFonts w:ascii="Calibri" w:eastAsia="Calibri" w:hAnsi="Calibri" w:cs="Calibri"/>
          <w:sz w:val="22"/>
          <w:szCs w:val="22"/>
        </w:rPr>
        <w:t>од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таквих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просјечних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трошкова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одржавања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последње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три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године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пословања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довољно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изврши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рекултивација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уколико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је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концесионар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изврши</w:t>
      </w:r>
      <w:r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</w:rPr>
        <w:t>Комисија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предлаже</w:t>
      </w:r>
      <w:r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као</w:t>
      </w:r>
      <w:r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могуће</w:t>
      </w:r>
      <w:r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рјешење</w:t>
      </w:r>
      <w:r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да</w:t>
      </w:r>
      <w:r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концесионари</w:t>
      </w:r>
      <w:r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издвајају</w:t>
      </w:r>
      <w:r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средства</w:t>
      </w:r>
      <w:r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за</w:t>
      </w:r>
      <w:r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рекултивацију</w:t>
      </w:r>
      <w:r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на</w:t>
      </w:r>
      <w:r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годишњем</w:t>
      </w:r>
      <w:r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нивоу</w:t>
      </w:r>
      <w:r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складу</w:t>
      </w:r>
      <w:r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са</w:t>
      </w:r>
      <w:r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Пројектом</w:t>
      </w:r>
      <w:r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рекултивације</w:t>
      </w:r>
      <w:r w:rsidRPr="00E97B82">
        <w:rPr>
          <w:rFonts w:ascii="Calibri" w:eastAsia="Calibri" w:hAnsi="Calibri" w:cs="Calibri"/>
          <w:sz w:val="22"/>
          <w:szCs w:val="22"/>
        </w:rPr>
        <w:t>.</w:t>
      </w:r>
    </w:p>
    <w:p w:rsidR="004C3B3C" w:rsidRPr="00622A98" w:rsidRDefault="00622A98" w:rsidP="00571AC0">
      <w:pPr>
        <w:numPr>
          <w:ilvl w:val="0"/>
          <w:numId w:val="14"/>
        </w:numPr>
        <w:tabs>
          <w:tab w:val="left" w:pos="540"/>
        </w:tabs>
        <w:spacing w:after="120" w:line="276" w:lineRule="auto"/>
        <w:ind w:left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извјештајној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201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>5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</w:rPr>
        <w:t>години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дошло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до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позитивних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помака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вези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коришћења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вода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те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неопходно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предузети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активности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стране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надлежних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органа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циљу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изналажења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рјешења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реализацију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уговора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којих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постоји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евидентан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застој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као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отклањање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недостатака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који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утицали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смањење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прихода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код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предузећа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комерцијалном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раду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. </w:t>
      </w:r>
      <w:r w:rsidR="00DD65E6">
        <w:rPr>
          <w:rFonts w:ascii="Calibri" w:eastAsia="Calibri" w:hAnsi="Calibri" w:cs="Calibri"/>
          <w:sz w:val="22"/>
          <w:szCs w:val="22"/>
        </w:rPr>
        <w:t>Главни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разлози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таквог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стања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су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нелојална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конкуренција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из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земаља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окружења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Федерације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Босне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Херцеговине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недостатак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обртних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средстава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</w:rPr>
        <w:t>предимензионисаност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капацитета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,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нелегална</w:t>
      </w:r>
      <w:r w:rsidR="00E97B82" w:rsidRPr="00E97B82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  <w:lang w:val="sr-Cyrl-BA"/>
        </w:rPr>
        <w:t>експлоатација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и</w:t>
      </w:r>
      <w:r w:rsidR="00E97B82" w:rsidRPr="00E97B82">
        <w:rPr>
          <w:rFonts w:ascii="Calibri" w:eastAsia="Calibri" w:hAnsi="Calibri" w:cs="Calibri"/>
          <w:sz w:val="22"/>
          <w:szCs w:val="22"/>
        </w:rPr>
        <w:t xml:space="preserve"> </w:t>
      </w:r>
      <w:r w:rsidR="00DD65E6">
        <w:rPr>
          <w:rFonts w:ascii="Calibri" w:eastAsia="Calibri" w:hAnsi="Calibri" w:cs="Calibri"/>
          <w:sz w:val="22"/>
          <w:szCs w:val="22"/>
        </w:rPr>
        <w:t>друго</w:t>
      </w:r>
      <w:r w:rsidR="00E97B82" w:rsidRPr="00E97B82">
        <w:rPr>
          <w:rFonts w:ascii="Calibri" w:eastAsia="Calibri" w:hAnsi="Calibri" w:cs="Calibri"/>
          <w:sz w:val="22"/>
          <w:szCs w:val="22"/>
        </w:rPr>
        <w:t>.</w:t>
      </w:r>
    </w:p>
    <w:p w:rsidR="00984B5B" w:rsidRPr="00703718" w:rsidRDefault="00984B5B" w:rsidP="00622A98">
      <w:pPr>
        <w:pStyle w:val="Heading2"/>
      </w:pPr>
      <w:bookmarkStart w:id="51" w:name="_Toc449404333"/>
      <w:r w:rsidRPr="00703718">
        <w:t xml:space="preserve">3.4. </w:t>
      </w:r>
      <w:r w:rsidR="00DD65E6">
        <w:t>Активности</w:t>
      </w:r>
      <w:r w:rsidRPr="00703718">
        <w:t xml:space="preserve"> </w:t>
      </w:r>
      <w:r w:rsidR="00DD65E6">
        <w:t>Комисије</w:t>
      </w:r>
      <w:r w:rsidRPr="00703718">
        <w:t xml:space="preserve"> </w:t>
      </w:r>
      <w:r w:rsidR="00DD65E6">
        <w:t>из</w:t>
      </w:r>
      <w:r w:rsidRPr="00703718">
        <w:t xml:space="preserve"> </w:t>
      </w:r>
      <w:r w:rsidR="00DD65E6">
        <w:t>области</w:t>
      </w:r>
      <w:r w:rsidRPr="00703718">
        <w:t xml:space="preserve"> </w:t>
      </w:r>
      <w:r w:rsidR="00DD65E6">
        <w:t>трговине</w:t>
      </w:r>
      <w:r w:rsidRPr="00703718">
        <w:t xml:space="preserve"> </w:t>
      </w:r>
      <w:r w:rsidR="00DD65E6">
        <w:t>и</w:t>
      </w:r>
      <w:r w:rsidRPr="00703718">
        <w:t xml:space="preserve"> </w:t>
      </w:r>
      <w:r w:rsidR="00DD65E6">
        <w:t>туризма</w:t>
      </w:r>
      <w:bookmarkEnd w:id="45"/>
      <w:bookmarkEnd w:id="51"/>
    </w:p>
    <w:p w:rsidR="004C3B3C" w:rsidRPr="00703718" w:rsidRDefault="00984B5B" w:rsidP="00622A98">
      <w:pPr>
        <w:pStyle w:val="Heading3"/>
      </w:pPr>
      <w:bookmarkStart w:id="52" w:name="_Toc418075630"/>
      <w:bookmarkStart w:id="53" w:name="_Toc449404334"/>
      <w:r w:rsidRPr="00703718">
        <w:t>3</w:t>
      </w:r>
      <w:r w:rsidRPr="00703718">
        <w:rPr>
          <w:lang w:val="ru-RU"/>
        </w:rPr>
        <w:t>.</w:t>
      </w:r>
      <w:r w:rsidRPr="00703718">
        <w:t>4</w:t>
      </w:r>
      <w:r w:rsidRPr="00703718">
        <w:rPr>
          <w:lang w:val="ru-RU"/>
        </w:rPr>
        <w:t xml:space="preserve">.1. </w:t>
      </w:r>
      <w:r w:rsidR="00DD65E6">
        <w:t>Рјешења</w:t>
      </w:r>
      <w:r w:rsidRPr="00703718">
        <w:t xml:space="preserve"> </w:t>
      </w:r>
      <w:r w:rsidR="00DD65E6">
        <w:rPr>
          <w:lang w:val="sr-Latn-BA"/>
        </w:rPr>
        <w:t>К</w:t>
      </w:r>
      <w:r w:rsidR="00DD65E6">
        <w:t>омисије</w:t>
      </w:r>
      <w:bookmarkEnd w:id="52"/>
      <w:bookmarkEnd w:id="53"/>
      <w:r w:rsidRPr="00703718">
        <w:t xml:space="preserve"> </w:t>
      </w:r>
    </w:p>
    <w:p w:rsidR="00984B5B" w:rsidRPr="00703718" w:rsidRDefault="00DD65E6" w:rsidP="00984B5B">
      <w:p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току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2015.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Министарство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трговине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туризма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sz w:val="22"/>
          <w:szCs w:val="22"/>
          <w:lang w:val="sr-Cyrl-BA"/>
        </w:rPr>
        <w:t>упутило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1 (</w:t>
      </w:r>
      <w:r>
        <w:rPr>
          <w:rFonts w:asciiTheme="minorHAnsi" w:hAnsiTheme="minorHAnsi"/>
          <w:sz w:val="22"/>
          <w:szCs w:val="22"/>
          <w:lang w:val="sr-Cyrl-BA"/>
        </w:rPr>
        <w:t>један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) </w:t>
      </w:r>
      <w:r>
        <w:rPr>
          <w:rFonts w:asciiTheme="minorHAnsi" w:hAnsiTheme="minorHAnsi"/>
          <w:sz w:val="22"/>
          <w:szCs w:val="22"/>
          <w:lang w:val="sr-Cyrl-BA"/>
        </w:rPr>
        <w:t>захтјев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,  </w:t>
      </w:r>
      <w:r>
        <w:rPr>
          <w:rFonts w:asciiTheme="minorHAnsi" w:hAnsiTheme="minorHAnsi"/>
          <w:sz w:val="22"/>
          <w:szCs w:val="22"/>
          <w:lang w:val="sr-Cyrl-BA"/>
        </w:rPr>
        <w:t>који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</w:t>
      </w:r>
      <w:r>
        <w:rPr>
          <w:rFonts w:asciiTheme="minorHAnsi" w:hAnsiTheme="minorHAnsi"/>
          <w:sz w:val="22"/>
          <w:szCs w:val="22"/>
          <w:lang w:val="sr-Cyrl-CS"/>
        </w:rPr>
        <w:t>ио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рјешавање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предмета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трговине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туризма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. </w:t>
      </w:r>
    </w:p>
    <w:p w:rsidR="00984B5B" w:rsidRPr="00703718" w:rsidRDefault="00DD65E6" w:rsidP="00984B5B">
      <w:p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току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2015.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трговине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туризма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донијела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упутила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Министарству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трговине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туризма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>:</w:t>
      </w:r>
    </w:p>
    <w:p w:rsidR="00984B5B" w:rsidRPr="005355B3" w:rsidRDefault="00984B5B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703718">
        <w:rPr>
          <w:rFonts w:asciiTheme="minorHAnsi" w:hAnsiTheme="minorHAnsi"/>
          <w:sz w:val="22"/>
          <w:szCs w:val="22"/>
          <w:lang w:val="sr-Cyrl-BA"/>
        </w:rPr>
        <w:t>1</w:t>
      </w:r>
      <w:r w:rsidRPr="00703718">
        <w:rPr>
          <w:rFonts w:asciiTheme="minorHAnsi" w:hAnsiTheme="minorHAnsi"/>
          <w:sz w:val="22"/>
          <w:szCs w:val="22"/>
          <w:lang w:val="sr-Cyrl-BA"/>
        </w:rPr>
        <w:tab/>
      </w:r>
      <w:r w:rsidR="00DD65E6">
        <w:rPr>
          <w:rFonts w:asciiTheme="minorHAnsi" w:hAnsiTheme="minorHAnsi"/>
          <w:sz w:val="22"/>
          <w:szCs w:val="22"/>
          <w:lang w:val="sr-Cyrl-BA"/>
        </w:rPr>
        <w:t>Рјешење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ru-RU"/>
        </w:rPr>
        <w:t>давању</w:t>
      </w:r>
      <w:r w:rsidRPr="005355B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ru-RU"/>
        </w:rPr>
        <w:t>сагласности</w:t>
      </w:r>
      <w:r w:rsidRPr="005355B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ru-RU"/>
        </w:rPr>
        <w:t>на</w:t>
      </w:r>
      <w:r w:rsidRPr="005355B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ru-RU"/>
        </w:rPr>
        <w:t>документацију</w:t>
      </w:r>
      <w:r w:rsidRPr="005355B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ru-RU"/>
        </w:rPr>
        <w:t>за</w:t>
      </w:r>
      <w:r w:rsidRPr="005355B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ru-RU"/>
        </w:rPr>
        <w:t>јавно</w:t>
      </w:r>
      <w:r w:rsidRPr="005355B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ru-RU"/>
        </w:rPr>
        <w:t>надметање</w:t>
      </w:r>
      <w:r w:rsidRPr="005355B3">
        <w:rPr>
          <w:rFonts w:asciiTheme="minorHAnsi" w:hAnsiTheme="minorHAnsi"/>
          <w:sz w:val="22"/>
          <w:szCs w:val="22"/>
          <w:lang w:val="sr-Cyrl-BA"/>
        </w:rPr>
        <w:t>;</w:t>
      </w:r>
    </w:p>
    <w:p w:rsidR="00984B5B" w:rsidRPr="005355B3" w:rsidRDefault="00984B5B" w:rsidP="00984B5B">
      <w:pPr>
        <w:ind w:left="540"/>
        <w:jc w:val="both"/>
        <w:rPr>
          <w:rFonts w:asciiTheme="minorHAnsi" w:hAnsiTheme="minorHAnsi"/>
          <w:color w:val="FF0000"/>
          <w:sz w:val="22"/>
          <w:szCs w:val="22"/>
          <w:lang w:val="sr-Cyrl-BA"/>
        </w:rPr>
      </w:pPr>
    </w:p>
    <w:p w:rsidR="00984B5B" w:rsidRPr="00703718" w:rsidRDefault="00DD65E6" w:rsidP="00984B5B">
      <w:p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Министарство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трговине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туризма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sz w:val="22"/>
          <w:szCs w:val="22"/>
          <w:lang w:val="sr-Cyrl-BA"/>
        </w:rPr>
        <w:t>није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доставило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ниједан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закључен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концесијама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туризма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2015. </w:t>
      </w:r>
      <w:r>
        <w:rPr>
          <w:rFonts w:asciiTheme="minorHAnsi" w:hAnsiTheme="minorHAnsi"/>
          <w:sz w:val="22"/>
          <w:szCs w:val="22"/>
          <w:lang w:val="sr-Cyrl-BA"/>
        </w:rPr>
        <w:t>години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. </w:t>
      </w:r>
    </w:p>
    <w:p w:rsidR="00984B5B" w:rsidRPr="00703718" w:rsidRDefault="00DD65E6" w:rsidP="00984B5B">
      <w:pPr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BA"/>
        </w:rPr>
        <w:t>У</w:t>
      </w:r>
      <w:r w:rsidR="000851F1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табели</w:t>
      </w:r>
      <w:r w:rsidR="000851F1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55299" w:rsidRPr="00703718">
        <w:rPr>
          <w:rFonts w:asciiTheme="minorHAnsi" w:hAnsiTheme="minorHAnsi"/>
          <w:sz w:val="22"/>
          <w:szCs w:val="22"/>
          <w:lang w:val="sr-Cyrl-BA"/>
        </w:rPr>
        <w:t>19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 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дат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преглед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sz w:val="22"/>
          <w:szCs w:val="22"/>
          <w:lang w:val="sr-Cyrl-BA"/>
        </w:rPr>
        <w:t>р</w:t>
      </w:r>
      <w:r>
        <w:rPr>
          <w:rFonts w:asciiTheme="minorHAnsi" w:hAnsiTheme="minorHAnsi"/>
          <w:sz w:val="22"/>
          <w:szCs w:val="22"/>
          <w:lang w:val="sr-Cyrl-CS"/>
        </w:rPr>
        <w:t>јешења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2015. </w:t>
      </w:r>
      <w:r>
        <w:rPr>
          <w:rFonts w:asciiTheme="minorHAnsi" w:hAnsiTheme="minorHAnsi"/>
          <w:sz w:val="22"/>
          <w:szCs w:val="22"/>
          <w:lang w:val="sr-Cyrl-BA"/>
        </w:rPr>
        <w:t>години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трговине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туризма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>;</w:t>
      </w:r>
    </w:p>
    <w:p w:rsidR="00984B5B" w:rsidRPr="00703718" w:rsidRDefault="00DD65E6" w:rsidP="00984B5B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Табела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="00622A98">
        <w:rPr>
          <w:rFonts w:asciiTheme="minorHAnsi" w:hAnsiTheme="minorHAnsi"/>
          <w:b/>
          <w:sz w:val="22"/>
          <w:szCs w:val="22"/>
          <w:lang w:val="sr-Cyrl-CS"/>
        </w:rPr>
        <w:t>19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давању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сагласности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на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документацију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јавно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надметање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</w:p>
    <w:p w:rsidR="00984B5B" w:rsidRPr="00703718" w:rsidRDefault="00DD65E6" w:rsidP="00984B5B">
      <w:pPr>
        <w:jc w:val="both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из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области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трговине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и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туризма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у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sr-Cyrl-CS"/>
        </w:rPr>
        <w:t>години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>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26"/>
        <w:gridCol w:w="2596"/>
        <w:gridCol w:w="1935"/>
        <w:gridCol w:w="1758"/>
      </w:tblGrid>
      <w:tr w:rsidR="00984B5B" w:rsidRPr="00703718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984B5B" w:rsidRPr="00703718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</w:rPr>
              <w:t>1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документацију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надметање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кориштење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земљишта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ради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реализације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пројекта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Острво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ријеци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Врбас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Туристичко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угоститељски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комплекс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Стара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Ада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Бања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Лука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23.09.2015.</w:t>
            </w:r>
          </w:p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</w:tbl>
    <w:p w:rsidR="00984B5B" w:rsidRPr="00703718" w:rsidRDefault="00DD65E6" w:rsidP="00984B5B">
      <w:p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Укупно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</w:rPr>
        <w:t>је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дата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1 (</w:t>
      </w:r>
      <w:r>
        <w:rPr>
          <w:rFonts w:asciiTheme="minorHAnsi" w:hAnsiTheme="minorHAnsi"/>
          <w:sz w:val="22"/>
          <w:szCs w:val="22"/>
          <w:lang w:val="ru-RU"/>
        </w:rPr>
        <w:t>једна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) </w:t>
      </w:r>
      <w:r>
        <w:rPr>
          <w:rFonts w:asciiTheme="minorHAnsi" w:hAnsiTheme="minorHAnsi"/>
          <w:sz w:val="22"/>
          <w:szCs w:val="22"/>
          <w:lang w:val="ru-RU"/>
        </w:rPr>
        <w:t>сагласност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документацију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за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јавно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надметање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984B5B" w:rsidRPr="00622A98" w:rsidRDefault="00DD65E6" w:rsidP="00622A98">
      <w:p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трговине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туризма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2015. </w:t>
      </w:r>
      <w:r>
        <w:rPr>
          <w:rFonts w:asciiTheme="minorHAnsi" w:hAnsiTheme="minorHAnsi"/>
          <w:sz w:val="22"/>
          <w:szCs w:val="22"/>
          <w:lang w:val="sr-Cyrl-CS"/>
        </w:rPr>
        <w:t>години</w:t>
      </w:r>
      <w:r w:rsidR="0021152F" w:rsidRPr="00703718">
        <w:rPr>
          <w:rFonts w:asciiTheme="minorHAnsi" w:hAnsiTheme="minorHAnsi"/>
          <w:sz w:val="22"/>
          <w:szCs w:val="22"/>
          <w:lang w:val="ru-RU"/>
        </w:rPr>
        <w:t>.</w:t>
      </w:r>
    </w:p>
    <w:p w:rsidR="00984B5B" w:rsidRPr="00622A98" w:rsidRDefault="00984B5B" w:rsidP="00622A98">
      <w:pPr>
        <w:pStyle w:val="Heading2"/>
        <w:rPr>
          <w:lang w:val="sr-Cyrl-BA"/>
        </w:rPr>
      </w:pPr>
      <w:bookmarkStart w:id="54" w:name="_Toc449404335"/>
      <w:r w:rsidRPr="004C3B3C">
        <w:t xml:space="preserve">3.5. </w:t>
      </w:r>
      <w:r w:rsidR="00DD65E6">
        <w:t>Активности</w:t>
      </w:r>
      <w:r w:rsidRPr="004C3B3C">
        <w:t xml:space="preserve"> </w:t>
      </w:r>
      <w:r w:rsidR="00DD65E6">
        <w:t>Комисије</w:t>
      </w:r>
      <w:r w:rsidRPr="004C3B3C">
        <w:t xml:space="preserve"> </w:t>
      </w:r>
      <w:r w:rsidR="00DD65E6">
        <w:t>из</w:t>
      </w:r>
      <w:r w:rsidRPr="004C3B3C">
        <w:t xml:space="preserve"> </w:t>
      </w:r>
      <w:r w:rsidR="00DD65E6">
        <w:t>области</w:t>
      </w:r>
      <w:r w:rsidRPr="004C3B3C">
        <w:t xml:space="preserve"> </w:t>
      </w:r>
      <w:r w:rsidR="00DD65E6">
        <w:rPr>
          <w:lang w:val="sr-Cyrl-BA"/>
        </w:rPr>
        <w:t>финансија</w:t>
      </w:r>
      <w:bookmarkEnd w:id="54"/>
    </w:p>
    <w:p w:rsidR="00703718" w:rsidRPr="00622A98" w:rsidRDefault="00984B5B" w:rsidP="00622A98">
      <w:pPr>
        <w:pStyle w:val="Heading3"/>
      </w:pPr>
      <w:bookmarkStart w:id="55" w:name="_Toc449404336"/>
      <w:r w:rsidRPr="004C3B3C">
        <w:t>3</w:t>
      </w:r>
      <w:r w:rsidRPr="004C3B3C">
        <w:rPr>
          <w:lang w:val="ru-RU"/>
        </w:rPr>
        <w:t>.5.1.</w:t>
      </w:r>
      <w:r w:rsidRPr="004C3B3C">
        <w:rPr>
          <w:b/>
          <w:lang w:val="ru-RU"/>
        </w:rPr>
        <w:t xml:space="preserve"> </w:t>
      </w:r>
      <w:r w:rsidR="00DD65E6">
        <w:t>Рјешења</w:t>
      </w:r>
      <w:r w:rsidRPr="004C3B3C">
        <w:t xml:space="preserve"> </w:t>
      </w:r>
      <w:r w:rsidR="00DD65E6">
        <w:t>Комисије</w:t>
      </w:r>
      <w:bookmarkEnd w:id="55"/>
    </w:p>
    <w:p w:rsidR="00984B5B" w:rsidRPr="00703718" w:rsidRDefault="00DD65E6" w:rsidP="00984B5B">
      <w:p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току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2015.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Министарство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финансија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упутило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1 (</w:t>
      </w:r>
      <w:r>
        <w:rPr>
          <w:rFonts w:asciiTheme="minorHAnsi" w:hAnsiTheme="minorHAnsi"/>
          <w:sz w:val="22"/>
          <w:szCs w:val="22"/>
          <w:lang w:val="sr-Cyrl-BA"/>
        </w:rPr>
        <w:t>један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>)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захтјев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који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</w:t>
      </w:r>
      <w:r>
        <w:rPr>
          <w:rFonts w:asciiTheme="minorHAnsi" w:hAnsiTheme="minorHAnsi"/>
          <w:sz w:val="22"/>
          <w:szCs w:val="22"/>
          <w:lang w:val="sr-Cyrl-CS"/>
        </w:rPr>
        <w:t>ио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рјешавање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предмета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привређивања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игара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срећу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казину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. </w:t>
      </w:r>
    </w:p>
    <w:p w:rsidR="00984B5B" w:rsidRPr="00703718" w:rsidRDefault="00DD65E6" w:rsidP="00984B5B">
      <w:p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lastRenderedPageBreak/>
        <w:t>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току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2015.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привређивања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игара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срећу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казину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донијела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упутила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Министарству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финансија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>:</w:t>
      </w:r>
    </w:p>
    <w:p w:rsidR="00984B5B" w:rsidRPr="00703718" w:rsidRDefault="00984B5B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703718">
        <w:rPr>
          <w:rFonts w:asciiTheme="minorHAnsi" w:hAnsiTheme="minorHAnsi"/>
          <w:sz w:val="22"/>
          <w:szCs w:val="22"/>
          <w:lang w:val="sr-Cyrl-BA"/>
        </w:rPr>
        <w:t xml:space="preserve">1 </w:t>
      </w:r>
      <w:r w:rsidR="00DD65E6">
        <w:rPr>
          <w:rFonts w:asciiTheme="minorHAnsi" w:hAnsiTheme="minorHAnsi"/>
          <w:sz w:val="22"/>
          <w:szCs w:val="22"/>
          <w:lang w:val="sr-Cyrl-BA"/>
        </w:rPr>
        <w:t>Рјешење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давању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на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закључење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анекса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уговора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концесији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из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области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привређивања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игара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на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срећу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у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казину</w:t>
      </w:r>
      <w:r w:rsidRPr="00703718">
        <w:rPr>
          <w:rFonts w:asciiTheme="minorHAnsi" w:hAnsiTheme="minorHAnsi"/>
          <w:sz w:val="22"/>
          <w:szCs w:val="22"/>
          <w:lang w:val="sr-Cyrl-BA"/>
        </w:rPr>
        <w:t>.</w:t>
      </w:r>
    </w:p>
    <w:p w:rsidR="00984B5B" w:rsidRPr="00703718" w:rsidRDefault="00984B5B" w:rsidP="00984B5B">
      <w:pPr>
        <w:ind w:left="360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984B5B" w:rsidRPr="00BC12C7" w:rsidRDefault="00DD65E6" w:rsidP="00984B5B">
      <w:pPr>
        <w:jc w:val="both"/>
        <w:rPr>
          <w:rFonts w:asciiTheme="minorHAnsi" w:hAnsiTheme="minorHAnsi"/>
          <w:b/>
          <w:sz w:val="22"/>
          <w:szCs w:val="22"/>
          <w:lang w:val="sr-Cyrl-BA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Табела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="00D55299" w:rsidRPr="00703718">
        <w:rPr>
          <w:rFonts w:asciiTheme="minorHAnsi" w:hAnsiTheme="minorHAnsi"/>
          <w:b/>
          <w:sz w:val="22"/>
          <w:szCs w:val="22"/>
          <w:lang w:val="sr-Cyrl-CS"/>
        </w:rPr>
        <w:t>20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sr-Cyrl-BA"/>
        </w:rPr>
        <w:t>Рјешења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Комисије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о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давању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сагласности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на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закључење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анекса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уговора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о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концесији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из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области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привређивања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игара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на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срећу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у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казину</w:t>
      </w:r>
      <w:r w:rsidR="00984B5B" w:rsidRPr="00BC12C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у</w:t>
      </w:r>
      <w:r w:rsidR="00984B5B" w:rsidRPr="00BC12C7">
        <w:rPr>
          <w:rFonts w:asciiTheme="minorHAnsi" w:hAnsiTheme="minorHAnsi"/>
          <w:b/>
          <w:sz w:val="22"/>
          <w:szCs w:val="22"/>
          <w:lang w:val="sr-Cyrl-CS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sr-Cyrl-CS"/>
        </w:rPr>
        <w:t>години</w:t>
      </w:r>
      <w:r w:rsidR="00984B5B" w:rsidRPr="00BC12C7">
        <w:rPr>
          <w:rFonts w:asciiTheme="minorHAnsi" w:hAnsiTheme="minorHAnsi"/>
          <w:b/>
          <w:sz w:val="22"/>
          <w:szCs w:val="22"/>
          <w:lang w:val="sr-Cyrl-CS"/>
        </w:rPr>
        <w:t>: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820"/>
        <w:gridCol w:w="2858"/>
        <w:gridCol w:w="1920"/>
        <w:gridCol w:w="1757"/>
      </w:tblGrid>
      <w:tr w:rsidR="00984B5B" w:rsidRPr="00703718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Концесионар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Датум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доношења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Рјешења</w:t>
            </w:r>
          </w:p>
        </w:tc>
      </w:tr>
      <w:tr w:rsidR="00984B5B" w:rsidRPr="00703718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</w:rPr>
              <w:t>1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rPr>
                <w:rFonts w:asciiTheme="minorHAnsi" w:hAnsiTheme="minorHAnsi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Гранд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Л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Т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Бања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Лука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Привређивање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игара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на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срећу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казину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ИВ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1</w:t>
            </w:r>
            <w:r w:rsidRPr="00703718">
              <w:rPr>
                <w:rFonts w:asciiTheme="minorHAnsi" w:hAnsiTheme="minorHAnsi"/>
                <w:sz w:val="22"/>
                <w:szCs w:val="22"/>
                <w:lang w:val="sr-Latn-BA"/>
              </w:rPr>
              <w:t>8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.0</w:t>
            </w:r>
            <w:r w:rsidRPr="00703718">
              <w:rPr>
                <w:rFonts w:asciiTheme="minorHAnsi" w:hAnsiTheme="minorHAnsi"/>
                <w:sz w:val="22"/>
                <w:szCs w:val="22"/>
                <w:lang w:val="sr-Latn-BA"/>
              </w:rPr>
              <w:t>6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.2015.</w:t>
            </w:r>
          </w:p>
        </w:tc>
      </w:tr>
    </w:tbl>
    <w:p w:rsidR="00984B5B" w:rsidRDefault="00DD65E6" w:rsidP="00984B5B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Укупно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је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дат</w:t>
      </w:r>
      <w:r>
        <w:rPr>
          <w:rFonts w:asciiTheme="minorHAnsi" w:hAnsiTheme="minorHAnsi" w:cs="Calibri"/>
          <w:sz w:val="22"/>
          <w:szCs w:val="22"/>
          <w:lang w:val="sr-Latn-BA"/>
        </w:rPr>
        <w:t>а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984B5B" w:rsidRPr="00703718">
        <w:rPr>
          <w:rFonts w:asciiTheme="minorHAnsi" w:hAnsiTheme="minorHAnsi" w:cs="Calibri"/>
          <w:sz w:val="22"/>
          <w:szCs w:val="22"/>
          <w:lang w:val="sr-Latn-BA"/>
        </w:rPr>
        <w:t>1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(</w:t>
      </w:r>
      <w:r>
        <w:rPr>
          <w:rFonts w:asciiTheme="minorHAnsi" w:hAnsiTheme="minorHAnsi" w:cs="Calibri"/>
          <w:sz w:val="22"/>
          <w:szCs w:val="22"/>
          <w:lang w:val="sr-Cyrl-CS"/>
        </w:rPr>
        <w:t>једна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) </w:t>
      </w:r>
      <w:r>
        <w:rPr>
          <w:rFonts w:asciiTheme="minorHAnsi" w:hAnsiTheme="minorHAnsi" w:cs="Calibri"/>
          <w:sz w:val="22"/>
          <w:szCs w:val="22"/>
          <w:lang w:val="sr-Cyrl-CS"/>
        </w:rPr>
        <w:t>сагласност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закључење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анекса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концесији</w:t>
      </w:r>
      <w:r w:rsidR="00984B5B" w:rsidRPr="00703718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984B5B" w:rsidRPr="00703718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привређивања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игара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срећу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казину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>.</w:t>
      </w:r>
    </w:p>
    <w:p w:rsidR="00984B5B" w:rsidRPr="00622A98" w:rsidRDefault="00984B5B" w:rsidP="00622A98">
      <w:pPr>
        <w:pStyle w:val="Heading2"/>
        <w:rPr>
          <w:lang w:val="sr-Cyrl-BA"/>
        </w:rPr>
      </w:pPr>
      <w:bookmarkStart w:id="56" w:name="_Toc418075631"/>
      <w:bookmarkStart w:id="57" w:name="_Toc449404337"/>
      <w:r w:rsidRPr="00703718">
        <w:t>3.</w:t>
      </w:r>
      <w:r w:rsidRPr="00703718">
        <w:rPr>
          <w:lang w:val="sr-Cyrl-BA"/>
        </w:rPr>
        <w:t>6</w:t>
      </w:r>
      <w:r w:rsidRPr="00703718">
        <w:t xml:space="preserve">. </w:t>
      </w:r>
      <w:r w:rsidR="00DD65E6">
        <w:t>Активности</w:t>
      </w:r>
      <w:r w:rsidRPr="00703718">
        <w:t xml:space="preserve"> </w:t>
      </w:r>
      <w:r w:rsidR="00DD65E6">
        <w:t>Комисије</w:t>
      </w:r>
      <w:r w:rsidRPr="00703718">
        <w:t xml:space="preserve"> </w:t>
      </w:r>
      <w:r w:rsidR="00DD65E6">
        <w:t>из</w:t>
      </w:r>
      <w:r w:rsidRPr="00703718">
        <w:t xml:space="preserve"> </w:t>
      </w:r>
      <w:r w:rsidR="00DD65E6">
        <w:t>области</w:t>
      </w:r>
      <w:r w:rsidRPr="00703718">
        <w:t xml:space="preserve"> </w:t>
      </w:r>
      <w:bookmarkEnd w:id="56"/>
      <w:r w:rsidR="00DD65E6">
        <w:rPr>
          <w:lang w:val="sr-Cyrl-BA"/>
        </w:rPr>
        <w:t>саобраћаја</w:t>
      </w:r>
      <w:r w:rsidRPr="00703718">
        <w:rPr>
          <w:lang w:val="sr-Cyrl-BA"/>
        </w:rPr>
        <w:t xml:space="preserve"> </w:t>
      </w:r>
      <w:r w:rsidR="00DD65E6">
        <w:rPr>
          <w:lang w:val="sr-Cyrl-BA"/>
        </w:rPr>
        <w:t>и</w:t>
      </w:r>
      <w:r w:rsidRPr="00703718">
        <w:rPr>
          <w:lang w:val="sr-Cyrl-BA"/>
        </w:rPr>
        <w:t xml:space="preserve"> </w:t>
      </w:r>
      <w:r w:rsidR="00DD65E6">
        <w:rPr>
          <w:lang w:val="sr-Cyrl-BA"/>
        </w:rPr>
        <w:t>веза</w:t>
      </w:r>
      <w:bookmarkEnd w:id="57"/>
    </w:p>
    <w:p w:rsidR="00984B5B" w:rsidRPr="00622A98" w:rsidRDefault="00984B5B" w:rsidP="00622A98">
      <w:pPr>
        <w:pStyle w:val="Heading3"/>
        <w:rPr>
          <w:lang w:val="sr-Cyrl-BA"/>
        </w:rPr>
      </w:pPr>
      <w:bookmarkStart w:id="58" w:name="_Toc418075632"/>
      <w:bookmarkStart w:id="59" w:name="_Toc449404338"/>
      <w:r w:rsidRPr="00703718">
        <w:t>3</w:t>
      </w:r>
      <w:r w:rsidRPr="00703718">
        <w:rPr>
          <w:lang w:val="ru-RU"/>
        </w:rPr>
        <w:t>.6.1.</w:t>
      </w:r>
      <w:r w:rsidRPr="00703718">
        <w:rPr>
          <w:b/>
          <w:lang w:val="ru-RU"/>
        </w:rPr>
        <w:t xml:space="preserve"> </w:t>
      </w:r>
      <w:r w:rsidR="00DD65E6">
        <w:t>Рјешења</w:t>
      </w:r>
      <w:r w:rsidRPr="00703718">
        <w:t xml:space="preserve"> </w:t>
      </w:r>
      <w:r w:rsidR="00DD65E6">
        <w:t>Комисије</w:t>
      </w:r>
      <w:bookmarkEnd w:id="58"/>
      <w:bookmarkEnd w:id="59"/>
    </w:p>
    <w:p w:rsidR="00984B5B" w:rsidRPr="00703718" w:rsidRDefault="00DD65E6" w:rsidP="00984B5B">
      <w:p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току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2015.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Министарство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саобраћаја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веза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упутило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1 (</w:t>
      </w:r>
      <w:r>
        <w:rPr>
          <w:rFonts w:asciiTheme="minorHAnsi" w:hAnsiTheme="minorHAnsi"/>
          <w:sz w:val="22"/>
          <w:szCs w:val="22"/>
          <w:lang w:val="sr-Cyrl-BA"/>
        </w:rPr>
        <w:t>један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>)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захтјев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који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</w:t>
      </w:r>
      <w:r>
        <w:rPr>
          <w:rFonts w:asciiTheme="minorHAnsi" w:hAnsiTheme="minorHAnsi"/>
          <w:sz w:val="22"/>
          <w:szCs w:val="22"/>
          <w:lang w:val="sr-Cyrl-CS"/>
        </w:rPr>
        <w:t>ио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рјешавање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предмета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изградње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кориштења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одржавања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одморишта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. </w:t>
      </w:r>
    </w:p>
    <w:p w:rsidR="00984B5B" w:rsidRPr="00703718" w:rsidRDefault="00DD65E6" w:rsidP="00984B5B">
      <w:p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току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2015.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изградње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кориштења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одржавања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одморишта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донијела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упутила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Министарству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саобраћаја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веза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>:</w:t>
      </w:r>
    </w:p>
    <w:p w:rsidR="00984B5B" w:rsidRPr="00703718" w:rsidRDefault="00984B5B" w:rsidP="00984B5B">
      <w:pPr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984B5B" w:rsidRPr="00703718" w:rsidRDefault="00984B5B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703718">
        <w:rPr>
          <w:rFonts w:asciiTheme="minorHAnsi" w:hAnsiTheme="minorHAnsi"/>
          <w:sz w:val="22"/>
          <w:szCs w:val="22"/>
          <w:lang w:val="sr-Cyrl-BA"/>
        </w:rPr>
        <w:t xml:space="preserve">1 </w:t>
      </w:r>
      <w:r w:rsidR="00DD65E6">
        <w:rPr>
          <w:rFonts w:asciiTheme="minorHAnsi" w:hAnsiTheme="minorHAnsi"/>
          <w:sz w:val="22"/>
          <w:szCs w:val="22"/>
          <w:lang w:val="sr-Cyrl-BA"/>
        </w:rPr>
        <w:t>Рјешење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давању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на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документацију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за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јавно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надметање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за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додјелу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концесије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из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области</w:t>
      </w:r>
      <w:r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изградње</w:t>
      </w:r>
      <w:r w:rsidRPr="00703718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="00DD65E6">
        <w:rPr>
          <w:rFonts w:asciiTheme="minorHAnsi" w:hAnsiTheme="minorHAnsi"/>
          <w:sz w:val="22"/>
          <w:szCs w:val="22"/>
          <w:lang w:val="sr-Cyrl-CS"/>
        </w:rPr>
        <w:t>кориштења</w:t>
      </w:r>
      <w:r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и</w:t>
      </w:r>
      <w:r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одржавања</w:t>
      </w:r>
      <w:r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CS"/>
        </w:rPr>
        <w:t>одморишта</w:t>
      </w:r>
      <w:r w:rsidRPr="00703718">
        <w:rPr>
          <w:rFonts w:asciiTheme="minorHAnsi" w:hAnsiTheme="minorHAnsi"/>
          <w:sz w:val="22"/>
          <w:szCs w:val="22"/>
          <w:lang w:val="sr-Cyrl-BA"/>
        </w:rPr>
        <w:t>.</w:t>
      </w:r>
    </w:p>
    <w:p w:rsidR="00984B5B" w:rsidRPr="00703718" w:rsidRDefault="00984B5B" w:rsidP="00984B5B">
      <w:pPr>
        <w:ind w:left="360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984B5B" w:rsidRPr="008D5183" w:rsidRDefault="00DD65E6" w:rsidP="00984B5B">
      <w:pPr>
        <w:jc w:val="both"/>
        <w:rPr>
          <w:rFonts w:asciiTheme="minorHAnsi" w:hAnsiTheme="minorHAnsi"/>
          <w:b/>
          <w:sz w:val="22"/>
          <w:szCs w:val="22"/>
          <w:lang w:val="sr-Cyrl-BA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Табела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2</w:t>
      </w:r>
      <w:r w:rsidR="00C76114" w:rsidRPr="00703718">
        <w:rPr>
          <w:rFonts w:asciiTheme="minorHAnsi" w:hAnsiTheme="minorHAnsi"/>
          <w:b/>
          <w:sz w:val="22"/>
          <w:szCs w:val="22"/>
          <w:lang w:val="sr-Cyrl-CS"/>
        </w:rPr>
        <w:t>1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sr-Cyrl-BA"/>
        </w:rPr>
        <w:t>Рјешења</w:t>
      </w:r>
      <w:r w:rsidR="00984B5B" w:rsidRPr="008D5183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Комисије</w:t>
      </w:r>
      <w:r w:rsidR="00984B5B" w:rsidRPr="008D5183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о</w:t>
      </w:r>
      <w:r w:rsidR="00984B5B" w:rsidRPr="008D5183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давању</w:t>
      </w:r>
      <w:r w:rsidR="00984B5B" w:rsidRPr="008D5183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сагласности</w:t>
      </w:r>
      <w:r w:rsidR="00984B5B" w:rsidRPr="008D5183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на</w:t>
      </w:r>
      <w:r w:rsidR="00984B5B" w:rsidRPr="008D5183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документацију</w:t>
      </w:r>
      <w:r w:rsidR="00984B5B" w:rsidRPr="008D5183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за</w:t>
      </w:r>
      <w:r w:rsidR="00984B5B" w:rsidRPr="008D5183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јавно</w:t>
      </w:r>
      <w:r w:rsidR="00984B5B" w:rsidRPr="008D5183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надметање</w:t>
      </w:r>
      <w:r w:rsidR="00984B5B" w:rsidRPr="008D5183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за</w:t>
      </w:r>
      <w:r w:rsidR="00984B5B" w:rsidRPr="008D5183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додјелу</w:t>
      </w:r>
      <w:r w:rsidR="00984B5B" w:rsidRPr="008D5183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концесије</w:t>
      </w:r>
      <w:r w:rsidR="00984B5B" w:rsidRPr="008D5183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из</w:t>
      </w:r>
      <w:r w:rsidR="00984B5B" w:rsidRPr="008D5183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области</w:t>
      </w:r>
      <w:r w:rsidR="00984B5B" w:rsidRPr="008D5183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изградње</w:t>
      </w:r>
      <w:r w:rsidR="00984B5B" w:rsidRPr="008D5183">
        <w:rPr>
          <w:rFonts w:asciiTheme="minorHAnsi" w:hAnsiTheme="minorHAnsi"/>
          <w:b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b/>
          <w:sz w:val="22"/>
          <w:szCs w:val="22"/>
          <w:lang w:val="sr-Cyrl-CS"/>
        </w:rPr>
        <w:t>кориштења</w:t>
      </w:r>
      <w:r w:rsidR="00984B5B" w:rsidRPr="008D5183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и</w:t>
      </w:r>
      <w:r w:rsidR="00984B5B" w:rsidRPr="008D5183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одржавања</w:t>
      </w:r>
      <w:r w:rsidR="00984B5B" w:rsidRPr="008D5183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одморишта</w:t>
      </w:r>
      <w:r w:rsidR="00984B5B" w:rsidRPr="008D5183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у</w:t>
      </w:r>
      <w:r w:rsidR="00984B5B" w:rsidRPr="008D5183">
        <w:rPr>
          <w:rFonts w:asciiTheme="minorHAnsi" w:hAnsiTheme="minorHAnsi"/>
          <w:b/>
          <w:sz w:val="22"/>
          <w:szCs w:val="22"/>
          <w:lang w:val="sr-Cyrl-CS"/>
        </w:rPr>
        <w:t xml:space="preserve"> 2015.</w:t>
      </w:r>
      <w:r>
        <w:rPr>
          <w:rFonts w:asciiTheme="minorHAnsi" w:hAnsiTheme="minorHAnsi"/>
          <w:b/>
          <w:sz w:val="22"/>
          <w:szCs w:val="22"/>
          <w:lang w:val="sr-Cyrl-CS"/>
        </w:rPr>
        <w:t>г</w:t>
      </w:r>
      <w:r w:rsidR="00500EF6">
        <w:rPr>
          <w:rFonts w:asciiTheme="minorHAnsi" w:hAnsiTheme="minorHAnsi"/>
          <w:b/>
          <w:sz w:val="22"/>
          <w:szCs w:val="22"/>
          <w:lang w:val="sr-Cyrl-CS"/>
        </w:rPr>
        <w:t>.:</w:t>
      </w:r>
      <w:r w:rsidR="00984B5B" w:rsidRPr="008D5183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26"/>
        <w:gridCol w:w="2596"/>
        <w:gridCol w:w="1935"/>
        <w:gridCol w:w="1758"/>
      </w:tblGrid>
      <w:tr w:rsidR="00984B5B" w:rsidRPr="00703718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984B5B" w:rsidRPr="00703718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</w:rPr>
              <w:t>1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документацију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надметање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изградњу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кориштење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одржавање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одморишта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Одмориште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Лужани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пратећим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садржајем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бензинским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станицама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аутопуту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Градишка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Бања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Лука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18.08.2015.</w:t>
            </w:r>
          </w:p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</w:tbl>
    <w:p w:rsidR="00984B5B" w:rsidRPr="00622A98" w:rsidRDefault="00DD65E6" w:rsidP="00622A98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Укупно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</w:rPr>
        <w:t>је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дата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1 (</w:t>
      </w:r>
      <w:r>
        <w:rPr>
          <w:rFonts w:asciiTheme="minorHAnsi" w:hAnsiTheme="minorHAnsi"/>
          <w:sz w:val="22"/>
          <w:szCs w:val="22"/>
          <w:lang w:val="ru-RU"/>
        </w:rPr>
        <w:t>једна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) </w:t>
      </w:r>
      <w:r>
        <w:rPr>
          <w:rFonts w:asciiTheme="minorHAnsi" w:hAnsiTheme="minorHAnsi"/>
          <w:sz w:val="22"/>
          <w:szCs w:val="22"/>
          <w:lang w:val="ru-RU"/>
        </w:rPr>
        <w:t>сагласност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документацију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за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јавно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надметање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додјелу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изградње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кориштења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одржавања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одморишта</w:t>
      </w:r>
      <w:r w:rsidR="00C92B42" w:rsidRPr="00703718">
        <w:rPr>
          <w:rFonts w:asciiTheme="minorHAnsi" w:hAnsiTheme="minorHAnsi"/>
          <w:sz w:val="22"/>
          <w:szCs w:val="22"/>
          <w:lang w:val="sr-Cyrl-CS"/>
        </w:rPr>
        <w:t>.</w:t>
      </w:r>
    </w:p>
    <w:p w:rsidR="00984B5B" w:rsidRPr="00622A98" w:rsidRDefault="00984B5B" w:rsidP="00622A98">
      <w:pPr>
        <w:pStyle w:val="Heading2"/>
        <w:rPr>
          <w:lang w:val="sr-Cyrl-BA"/>
        </w:rPr>
      </w:pPr>
      <w:bookmarkStart w:id="60" w:name="_Toc418075633"/>
      <w:bookmarkStart w:id="61" w:name="_Toc449404339"/>
      <w:r w:rsidRPr="00703718">
        <w:lastRenderedPageBreak/>
        <w:t>3.</w:t>
      </w:r>
      <w:r w:rsidRPr="00703718">
        <w:rPr>
          <w:lang w:val="sr-Cyrl-BA"/>
        </w:rPr>
        <w:t>7</w:t>
      </w:r>
      <w:r w:rsidRPr="00703718">
        <w:t xml:space="preserve">. </w:t>
      </w:r>
      <w:r w:rsidR="00DD65E6">
        <w:t>Активности</w:t>
      </w:r>
      <w:r w:rsidRPr="00703718">
        <w:t xml:space="preserve"> </w:t>
      </w:r>
      <w:r w:rsidR="00DD65E6">
        <w:t>Комисије</w:t>
      </w:r>
      <w:r w:rsidRPr="00703718">
        <w:t xml:space="preserve"> </w:t>
      </w:r>
      <w:r w:rsidR="00DD65E6">
        <w:t>из</w:t>
      </w:r>
      <w:r w:rsidRPr="00703718">
        <w:t xml:space="preserve"> </w:t>
      </w:r>
      <w:r w:rsidR="00DD65E6">
        <w:t>области</w:t>
      </w:r>
      <w:r w:rsidRPr="00703718">
        <w:t xml:space="preserve"> </w:t>
      </w:r>
      <w:r w:rsidR="00DD65E6">
        <w:t>коришћења</w:t>
      </w:r>
      <w:r w:rsidRPr="00703718">
        <w:t xml:space="preserve"> </w:t>
      </w:r>
      <w:r w:rsidR="00DD65E6">
        <w:t>пољопривредног</w:t>
      </w:r>
      <w:r w:rsidRPr="00703718">
        <w:t xml:space="preserve">       </w:t>
      </w:r>
      <w:r w:rsidR="00DD65E6">
        <w:t>земљишта</w:t>
      </w:r>
      <w:r w:rsidRPr="00703718">
        <w:t xml:space="preserve"> </w:t>
      </w:r>
      <w:r w:rsidR="00DD65E6">
        <w:t>и</w:t>
      </w:r>
      <w:r w:rsidRPr="00703718">
        <w:t xml:space="preserve"> </w:t>
      </w:r>
      <w:r w:rsidR="00DD65E6">
        <w:t>водних</w:t>
      </w:r>
      <w:r w:rsidRPr="00703718">
        <w:t xml:space="preserve"> </w:t>
      </w:r>
      <w:r w:rsidR="00DD65E6">
        <w:t>добара</w:t>
      </w:r>
      <w:bookmarkEnd w:id="60"/>
      <w:bookmarkEnd w:id="61"/>
    </w:p>
    <w:p w:rsidR="00984B5B" w:rsidRPr="00622A98" w:rsidRDefault="00984B5B" w:rsidP="00622A98">
      <w:pPr>
        <w:pStyle w:val="Heading3"/>
        <w:rPr>
          <w:b/>
          <w:lang w:val="ru-RU"/>
        </w:rPr>
      </w:pPr>
      <w:bookmarkStart w:id="62" w:name="_Toc418075634"/>
      <w:bookmarkStart w:id="63" w:name="_Toc449404340"/>
      <w:r w:rsidRPr="00703718">
        <w:t>3</w:t>
      </w:r>
      <w:r w:rsidRPr="00703718">
        <w:rPr>
          <w:lang w:val="ru-RU"/>
        </w:rPr>
        <w:t>.</w:t>
      </w:r>
      <w:r w:rsidRPr="00703718">
        <w:t xml:space="preserve">7.1. </w:t>
      </w:r>
      <w:r w:rsidR="00DD65E6">
        <w:t>Рјешења</w:t>
      </w:r>
      <w:r w:rsidRPr="00703718">
        <w:t xml:space="preserve"> </w:t>
      </w:r>
      <w:r w:rsidR="00DD65E6">
        <w:t>Комисије</w:t>
      </w:r>
      <w:bookmarkEnd w:id="62"/>
      <w:bookmarkEnd w:id="63"/>
    </w:p>
    <w:p w:rsidR="00984B5B" w:rsidRPr="00687380" w:rsidRDefault="00DD65E6" w:rsidP="00984B5B">
      <w:p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 w:rsidRPr="00687380">
        <w:rPr>
          <w:rFonts w:asciiTheme="minorHAnsi" w:hAnsiTheme="minorHAnsi"/>
          <w:sz w:val="22"/>
          <w:szCs w:val="22"/>
          <w:lang w:val="sr-Cyrl-BA"/>
        </w:rPr>
        <w:t>У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току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20</w:t>
      </w:r>
      <w:r w:rsidR="00984B5B" w:rsidRPr="00687380">
        <w:rPr>
          <w:rFonts w:asciiTheme="minorHAnsi" w:hAnsiTheme="minorHAnsi"/>
          <w:sz w:val="22"/>
          <w:szCs w:val="22"/>
          <w:lang w:val="sr-Latn-CS"/>
        </w:rPr>
        <w:t>1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5. </w:t>
      </w:r>
      <w:r w:rsidRPr="00687380">
        <w:rPr>
          <w:rFonts w:asciiTheme="minorHAnsi" w:hAnsiTheme="minorHAnsi"/>
          <w:sz w:val="22"/>
          <w:szCs w:val="22"/>
          <w:lang w:val="sr-Cyrl-BA"/>
        </w:rPr>
        <w:t>године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, </w:t>
      </w:r>
      <w:r w:rsidRPr="00687380">
        <w:rPr>
          <w:rFonts w:asciiTheme="minorHAnsi" w:hAnsiTheme="minorHAnsi"/>
          <w:sz w:val="22"/>
          <w:szCs w:val="22"/>
          <w:lang w:val="sr-Cyrl-BA"/>
        </w:rPr>
        <w:t>Министарство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пољопривреде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, </w:t>
      </w:r>
      <w:r w:rsidRPr="00687380">
        <w:rPr>
          <w:rFonts w:asciiTheme="minorHAnsi" w:hAnsiTheme="minorHAnsi"/>
          <w:sz w:val="22"/>
          <w:szCs w:val="22"/>
          <w:lang w:val="sr-Cyrl-BA"/>
        </w:rPr>
        <w:t>шумарства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водопривреде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је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упутило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11</w:t>
      </w:r>
      <w:r w:rsidR="00984B5B" w:rsidRPr="00687380">
        <w:rPr>
          <w:rFonts w:asciiTheme="minorHAnsi" w:hAnsiTheme="minorHAnsi"/>
          <w:sz w:val="22"/>
          <w:szCs w:val="22"/>
          <w:lang w:val="sr-Latn-BA"/>
        </w:rPr>
        <w:t xml:space="preserve"> (</w:t>
      </w:r>
      <w:r w:rsidRPr="00687380">
        <w:rPr>
          <w:rFonts w:asciiTheme="minorHAnsi" w:hAnsiTheme="minorHAnsi"/>
          <w:sz w:val="22"/>
          <w:szCs w:val="22"/>
          <w:lang w:val="sr-Cyrl-BA"/>
        </w:rPr>
        <w:t>једанаест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>)</w:t>
      </w:r>
      <w:r w:rsidR="00984B5B" w:rsidRPr="00687380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захтјева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, </w:t>
      </w:r>
      <w:r w:rsidRPr="00687380">
        <w:rPr>
          <w:rFonts w:asciiTheme="minorHAnsi" w:hAnsiTheme="minorHAnsi"/>
          <w:sz w:val="22"/>
          <w:szCs w:val="22"/>
          <w:lang w:val="sr-Cyrl-BA"/>
        </w:rPr>
        <w:t>који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Latn-BA"/>
        </w:rPr>
        <w:t>су</w:t>
      </w:r>
      <w:r w:rsidR="00984B5B" w:rsidRPr="00687380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се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односили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на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рјешавање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предмета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из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области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коришћења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пољопривредног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земљишта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водних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добара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у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Републици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Српској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>.</w:t>
      </w:r>
    </w:p>
    <w:p w:rsidR="00984B5B" w:rsidRPr="00687380" w:rsidRDefault="00DD65E6" w:rsidP="00984B5B">
      <w:p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 w:rsidRPr="00687380">
        <w:rPr>
          <w:rFonts w:asciiTheme="minorHAnsi" w:hAnsiTheme="minorHAnsi"/>
          <w:sz w:val="22"/>
          <w:szCs w:val="22"/>
          <w:lang w:val="sr-Cyrl-BA"/>
        </w:rPr>
        <w:t>Министарство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пољопривреде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, </w:t>
      </w:r>
      <w:r w:rsidRPr="00687380">
        <w:rPr>
          <w:rFonts w:asciiTheme="minorHAnsi" w:hAnsiTheme="minorHAnsi"/>
          <w:sz w:val="22"/>
          <w:szCs w:val="22"/>
          <w:lang w:val="sr-Cyrl-BA"/>
        </w:rPr>
        <w:t>шумарства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водопривреде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је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Комисији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 </w:t>
      </w:r>
      <w:r w:rsidRPr="00687380">
        <w:rPr>
          <w:rFonts w:asciiTheme="minorHAnsi" w:hAnsiTheme="minorHAnsi"/>
          <w:sz w:val="22"/>
          <w:szCs w:val="22"/>
          <w:lang w:val="sr-Cyrl-BA"/>
        </w:rPr>
        <w:t>доставило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1 (</w:t>
      </w:r>
      <w:r w:rsidRPr="00687380">
        <w:rPr>
          <w:rFonts w:asciiTheme="minorHAnsi" w:hAnsiTheme="minorHAnsi"/>
          <w:sz w:val="22"/>
          <w:szCs w:val="22"/>
          <w:lang w:val="sr-Cyrl-BA"/>
        </w:rPr>
        <w:t>један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) </w:t>
      </w:r>
      <w:r w:rsidRPr="00687380">
        <w:rPr>
          <w:rFonts w:asciiTheme="minorHAnsi" w:hAnsiTheme="minorHAnsi"/>
          <w:sz w:val="22"/>
          <w:szCs w:val="22"/>
          <w:lang w:val="sr-Cyrl-BA"/>
        </w:rPr>
        <w:t>закључен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уговор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о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концесијама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из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области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коришћења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пољопривредног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земљишта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>.</w:t>
      </w:r>
    </w:p>
    <w:p w:rsidR="00984B5B" w:rsidRPr="00687380" w:rsidRDefault="00DD65E6" w:rsidP="00984B5B">
      <w:p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 w:rsidRPr="00687380">
        <w:rPr>
          <w:rFonts w:asciiTheme="minorHAnsi" w:hAnsiTheme="minorHAnsi"/>
          <w:sz w:val="22"/>
          <w:szCs w:val="22"/>
          <w:lang w:val="sr-Cyrl-BA"/>
        </w:rPr>
        <w:t>У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току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 2015. </w:t>
      </w:r>
      <w:r w:rsidRPr="00687380">
        <w:rPr>
          <w:rFonts w:asciiTheme="minorHAnsi" w:hAnsiTheme="minorHAnsi"/>
          <w:sz w:val="22"/>
          <w:szCs w:val="22"/>
          <w:lang w:val="sr-Cyrl-BA"/>
        </w:rPr>
        <w:t>године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из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области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коришћења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пољопривредног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земљишта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водних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добара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, </w:t>
      </w:r>
      <w:r w:rsidRPr="00687380">
        <w:rPr>
          <w:rFonts w:asciiTheme="minorHAnsi" w:hAnsiTheme="minorHAnsi"/>
          <w:sz w:val="22"/>
          <w:szCs w:val="22"/>
          <w:lang w:val="sr-Cyrl-BA"/>
        </w:rPr>
        <w:t>Комисија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је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донијела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упутила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Министарству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пољопривреде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, </w:t>
      </w:r>
      <w:r w:rsidRPr="00687380">
        <w:rPr>
          <w:rFonts w:asciiTheme="minorHAnsi" w:hAnsiTheme="minorHAnsi"/>
          <w:sz w:val="22"/>
          <w:szCs w:val="22"/>
          <w:lang w:val="sr-Cyrl-BA"/>
        </w:rPr>
        <w:t>шумарства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687380">
        <w:rPr>
          <w:rFonts w:asciiTheme="minorHAnsi" w:hAnsiTheme="minorHAnsi"/>
          <w:sz w:val="22"/>
          <w:szCs w:val="22"/>
          <w:lang w:val="sr-Cyrl-BA"/>
        </w:rPr>
        <w:t>водопривреде</w:t>
      </w:r>
      <w:r w:rsidR="00984B5B" w:rsidRPr="00687380">
        <w:rPr>
          <w:rFonts w:asciiTheme="minorHAnsi" w:hAnsiTheme="minorHAnsi"/>
          <w:sz w:val="22"/>
          <w:szCs w:val="22"/>
          <w:lang w:val="sr-Cyrl-BA"/>
        </w:rPr>
        <w:t>:</w:t>
      </w:r>
    </w:p>
    <w:p w:rsidR="00984B5B" w:rsidRPr="00687380" w:rsidRDefault="00984B5B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687380">
        <w:rPr>
          <w:rFonts w:asciiTheme="minorHAnsi" w:hAnsiTheme="minorHAnsi"/>
          <w:sz w:val="22"/>
          <w:szCs w:val="22"/>
          <w:lang w:val="sr-Cyrl-BA"/>
        </w:rPr>
        <w:t>1</w:t>
      </w:r>
      <w:r w:rsidRPr="00687380">
        <w:rPr>
          <w:rFonts w:asciiTheme="minorHAnsi" w:hAnsiTheme="minorHAnsi"/>
          <w:sz w:val="22"/>
          <w:szCs w:val="22"/>
          <w:lang w:val="sr-Cyrl-BA"/>
        </w:rPr>
        <w:tab/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Рјешење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о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давању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на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Студију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економске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оправданости</w:t>
      </w:r>
      <w:r w:rsidRPr="00687380">
        <w:rPr>
          <w:rFonts w:asciiTheme="minorHAnsi" w:hAnsiTheme="minorHAnsi"/>
          <w:sz w:val="22"/>
          <w:szCs w:val="22"/>
          <w:lang w:val="sr-Cyrl-BA"/>
        </w:rPr>
        <w:t>;</w:t>
      </w:r>
    </w:p>
    <w:p w:rsidR="00984B5B" w:rsidRPr="00687380" w:rsidRDefault="00984B5B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687380">
        <w:rPr>
          <w:rFonts w:asciiTheme="minorHAnsi" w:hAnsiTheme="minorHAnsi"/>
          <w:sz w:val="22"/>
          <w:szCs w:val="22"/>
          <w:lang w:val="sr-Cyrl-BA"/>
        </w:rPr>
        <w:t>4</w:t>
      </w:r>
      <w:r w:rsidRPr="00687380">
        <w:rPr>
          <w:rFonts w:asciiTheme="minorHAnsi" w:hAnsiTheme="minorHAnsi"/>
          <w:sz w:val="22"/>
          <w:szCs w:val="22"/>
          <w:lang w:val="sr-Cyrl-BA"/>
        </w:rPr>
        <w:tab/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Рјешења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о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давању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на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документацију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за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јавно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надметање</w:t>
      </w:r>
      <w:r w:rsidRPr="00687380">
        <w:rPr>
          <w:rFonts w:asciiTheme="minorHAnsi" w:hAnsiTheme="minorHAnsi"/>
          <w:sz w:val="22"/>
          <w:szCs w:val="22"/>
          <w:lang w:val="sr-Cyrl-BA"/>
        </w:rPr>
        <w:t>;</w:t>
      </w:r>
    </w:p>
    <w:p w:rsidR="00984B5B" w:rsidRPr="00687380" w:rsidRDefault="00984B5B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687380">
        <w:rPr>
          <w:rFonts w:asciiTheme="minorHAnsi" w:hAnsiTheme="minorHAnsi"/>
          <w:sz w:val="22"/>
          <w:szCs w:val="22"/>
          <w:lang w:val="sr-Cyrl-BA"/>
        </w:rPr>
        <w:t>1</w:t>
      </w:r>
      <w:r w:rsidRPr="00687380">
        <w:rPr>
          <w:rFonts w:asciiTheme="minorHAnsi" w:hAnsiTheme="minorHAnsi"/>
          <w:sz w:val="22"/>
          <w:szCs w:val="22"/>
          <w:lang w:val="sr-Cyrl-BA"/>
        </w:rPr>
        <w:tab/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Рјешење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о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давању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за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закључење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уговора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о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концесији</w:t>
      </w:r>
      <w:r w:rsidRPr="00687380">
        <w:rPr>
          <w:rFonts w:asciiTheme="minorHAnsi" w:hAnsiTheme="minorHAnsi"/>
          <w:sz w:val="22"/>
          <w:szCs w:val="22"/>
          <w:lang w:val="sr-Cyrl-BA"/>
        </w:rPr>
        <w:t>;</w:t>
      </w:r>
    </w:p>
    <w:p w:rsidR="00984B5B" w:rsidRPr="00687380" w:rsidRDefault="00984B5B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687380">
        <w:rPr>
          <w:rFonts w:asciiTheme="minorHAnsi" w:hAnsiTheme="minorHAnsi"/>
          <w:sz w:val="22"/>
          <w:szCs w:val="22"/>
          <w:lang w:val="sr-Cyrl-BA"/>
        </w:rPr>
        <w:t xml:space="preserve">3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Рјешења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о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давању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претходне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на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Приједлог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уговора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о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концесији</w:t>
      </w:r>
      <w:r w:rsidRPr="00687380">
        <w:rPr>
          <w:rFonts w:asciiTheme="minorHAnsi" w:hAnsiTheme="minorHAnsi"/>
          <w:sz w:val="22"/>
          <w:szCs w:val="22"/>
          <w:lang w:val="sr-Cyrl-BA"/>
        </w:rPr>
        <w:t>;</w:t>
      </w:r>
    </w:p>
    <w:p w:rsidR="00984B5B" w:rsidRPr="00687380" w:rsidRDefault="00984B5B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687380">
        <w:rPr>
          <w:rFonts w:asciiTheme="minorHAnsi" w:hAnsiTheme="minorHAnsi"/>
          <w:sz w:val="22"/>
          <w:szCs w:val="22"/>
          <w:lang w:val="sr-Cyrl-BA"/>
        </w:rPr>
        <w:t>2</w:t>
      </w:r>
      <w:r w:rsidRPr="00687380">
        <w:rPr>
          <w:rFonts w:asciiTheme="minorHAnsi" w:hAnsiTheme="minorHAnsi"/>
          <w:sz w:val="22"/>
          <w:szCs w:val="22"/>
          <w:lang w:val="sr-Cyrl-BA"/>
        </w:rPr>
        <w:tab/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Рјешења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о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давању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сагласности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за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закључење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анекса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уговора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о</w:t>
      </w:r>
      <w:r w:rsidRPr="0068738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 w:rsidRPr="00687380">
        <w:rPr>
          <w:rFonts w:asciiTheme="minorHAnsi" w:hAnsiTheme="minorHAnsi"/>
          <w:sz w:val="22"/>
          <w:szCs w:val="22"/>
          <w:lang w:val="sr-Cyrl-BA"/>
        </w:rPr>
        <w:t>концесији</w:t>
      </w:r>
      <w:r w:rsidRPr="00687380">
        <w:rPr>
          <w:rFonts w:asciiTheme="minorHAnsi" w:hAnsiTheme="minorHAnsi"/>
          <w:sz w:val="22"/>
          <w:szCs w:val="22"/>
          <w:lang w:val="sr-Cyrl-BA"/>
        </w:rPr>
        <w:t>.</w:t>
      </w:r>
    </w:p>
    <w:p w:rsidR="00984B5B" w:rsidRPr="00687380" w:rsidRDefault="00984B5B" w:rsidP="00984B5B">
      <w:pPr>
        <w:ind w:left="540"/>
        <w:jc w:val="both"/>
        <w:rPr>
          <w:rFonts w:asciiTheme="minorHAnsi" w:hAnsiTheme="minorHAnsi"/>
          <w:color w:val="FF0000"/>
          <w:sz w:val="22"/>
          <w:szCs w:val="22"/>
          <w:lang w:val="sr-Cyrl-BA"/>
        </w:rPr>
      </w:pPr>
    </w:p>
    <w:p w:rsidR="00984B5B" w:rsidRPr="00703718" w:rsidRDefault="00DD65E6" w:rsidP="00984B5B">
      <w:p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табелама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C76114" w:rsidRPr="00703718">
        <w:rPr>
          <w:rFonts w:asciiTheme="minorHAnsi" w:hAnsiTheme="minorHAnsi"/>
          <w:sz w:val="22"/>
          <w:szCs w:val="22"/>
          <w:lang w:val="sr-Cyrl-CS"/>
        </w:rPr>
        <w:t>22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>,</w:t>
      </w:r>
      <w:r w:rsidR="00622A9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C76114" w:rsidRPr="00703718">
        <w:rPr>
          <w:rFonts w:asciiTheme="minorHAnsi" w:hAnsiTheme="minorHAnsi"/>
          <w:sz w:val="22"/>
          <w:szCs w:val="22"/>
          <w:lang w:val="sr-Cyrl-CS"/>
        </w:rPr>
        <w:t>23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>,</w:t>
      </w:r>
      <w:r w:rsidR="00622A9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C76114" w:rsidRPr="00703718">
        <w:rPr>
          <w:rFonts w:asciiTheme="minorHAnsi" w:hAnsiTheme="minorHAnsi"/>
          <w:sz w:val="22"/>
          <w:szCs w:val="22"/>
          <w:lang w:val="sr-Cyrl-CS"/>
        </w:rPr>
        <w:t>24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>,</w:t>
      </w:r>
      <w:r w:rsidR="00622A9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C76114" w:rsidRPr="00703718">
        <w:rPr>
          <w:rFonts w:asciiTheme="minorHAnsi" w:hAnsiTheme="minorHAnsi"/>
          <w:sz w:val="22"/>
          <w:szCs w:val="22"/>
          <w:lang w:val="sr-Cyrl-CS"/>
        </w:rPr>
        <w:t>25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>,</w:t>
      </w:r>
      <w:r w:rsidR="00622A9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C76114" w:rsidRPr="00703718">
        <w:rPr>
          <w:rFonts w:asciiTheme="minorHAnsi" w:hAnsiTheme="minorHAnsi"/>
          <w:sz w:val="22"/>
          <w:szCs w:val="22"/>
          <w:lang w:val="sr-Cyrl-CS"/>
        </w:rPr>
        <w:t>26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622A98">
        <w:rPr>
          <w:rFonts w:asciiTheme="minorHAnsi" w:hAnsiTheme="minorHAnsi"/>
          <w:sz w:val="22"/>
          <w:szCs w:val="22"/>
          <w:lang w:val="sr-Cyrl-CS"/>
        </w:rPr>
        <w:t>27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дат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преглед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</w:t>
      </w:r>
      <w:r>
        <w:rPr>
          <w:rFonts w:asciiTheme="minorHAnsi" w:hAnsiTheme="minorHAnsi"/>
          <w:sz w:val="22"/>
          <w:szCs w:val="22"/>
          <w:lang w:val="sr-Cyrl-CS"/>
        </w:rPr>
        <w:t>јешења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2015. </w:t>
      </w:r>
      <w:r>
        <w:rPr>
          <w:rFonts w:asciiTheme="minorHAnsi" w:hAnsiTheme="minorHAnsi"/>
          <w:sz w:val="22"/>
          <w:szCs w:val="22"/>
          <w:lang w:val="sr-Cyrl-BA"/>
        </w:rPr>
        <w:t>години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коришћења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пољопривредног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водног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добра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>;</w:t>
      </w:r>
    </w:p>
    <w:p w:rsidR="00984B5B" w:rsidRPr="00703718" w:rsidRDefault="00DD65E6" w:rsidP="00984B5B">
      <w:pPr>
        <w:jc w:val="both"/>
        <w:rPr>
          <w:rFonts w:asciiTheme="minorHAnsi" w:hAnsiTheme="minorHAnsi"/>
          <w:b/>
          <w:sz w:val="22"/>
          <w:szCs w:val="22"/>
          <w:lang w:val="sr-Cyrl-BA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2</w:t>
      </w:r>
      <w:r w:rsidR="00C76114" w:rsidRPr="00703718">
        <w:rPr>
          <w:rFonts w:asciiTheme="minorHAnsi" w:hAnsiTheme="minorHAnsi"/>
          <w:b/>
          <w:sz w:val="22"/>
          <w:szCs w:val="22"/>
          <w:lang w:val="ru-RU"/>
        </w:rPr>
        <w:t>2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sr-Cyrl-CS"/>
        </w:rPr>
        <w:t>Преглед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закључених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уговора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о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концесији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из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области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коришћења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пољопривредног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земљишта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водног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добра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201</w:t>
      </w:r>
      <w:r w:rsidR="00984B5B" w:rsidRPr="00703718">
        <w:rPr>
          <w:rFonts w:asciiTheme="minorHAnsi" w:hAnsiTheme="minorHAnsi"/>
          <w:b/>
          <w:sz w:val="22"/>
          <w:szCs w:val="22"/>
        </w:rPr>
        <w:t>5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>.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93"/>
        <w:gridCol w:w="3340"/>
        <w:gridCol w:w="2051"/>
        <w:gridCol w:w="1666"/>
      </w:tblGrid>
      <w:tr w:rsidR="00984B5B" w:rsidRPr="00703718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Концесионар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закључења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Уговора</w:t>
            </w:r>
          </w:p>
        </w:tc>
      </w:tr>
      <w:tr w:rsidR="00984B5B" w:rsidRPr="00703718" w:rsidTr="00E37BA8">
        <w:trPr>
          <w:trHeight w:val="8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</w:rPr>
            </w:pPr>
            <w:r w:rsidRPr="0070371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КУСИЋ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ПУТЕВИ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д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Прњавор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</w:p>
          <w:p w:rsidR="00984B5B" w:rsidRPr="00703718" w:rsidRDefault="00984B5B" w:rsidP="00E37BA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BA"/>
              </w:rPr>
              <w:t>Коришћење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пољопривредног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земљишта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у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општини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Прњавор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ратарска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и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сточарска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производња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 xml:space="preserve">, 130,2497 </w:t>
            </w:r>
            <w:r>
              <w:rPr>
                <w:rFonts w:ascii="Calibri" w:hAnsi="Calibri"/>
                <w:sz w:val="22"/>
                <w:szCs w:val="22"/>
              </w:rPr>
              <w:t>ха</w:t>
            </w:r>
            <w:r w:rsidR="00984B5B" w:rsidRPr="00703718">
              <w:rPr>
                <w:rFonts w:ascii="Calibri" w:hAnsi="Calibri"/>
                <w:sz w:val="22"/>
                <w:szCs w:val="22"/>
                <w:lang w:val="sr-Cyrl-BA"/>
              </w:rPr>
              <w:t>)</w:t>
            </w:r>
          </w:p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ru-RU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ru-RU"/>
              </w:rPr>
              <w:t>12.03.5-330-2649/15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="Calibri" w:hAnsi="Calibri"/>
              </w:rPr>
            </w:pPr>
            <w:r w:rsidRPr="00703718">
              <w:rPr>
                <w:rFonts w:ascii="Calibri" w:hAnsi="Calibri"/>
                <w:sz w:val="22"/>
                <w:szCs w:val="22"/>
              </w:rPr>
              <w:t>14.07.2015</w:t>
            </w:r>
          </w:p>
          <w:p w:rsidR="00984B5B" w:rsidRPr="00703718" w:rsidRDefault="00984B5B" w:rsidP="00E37BA8">
            <w:pPr>
              <w:jc w:val="center"/>
              <w:rPr>
                <w:rFonts w:asciiTheme="minorHAnsi" w:hAnsiTheme="minorHAnsi" w:cs="Calibri"/>
                <w:lang w:val="sr-Cyrl-BA"/>
              </w:rPr>
            </w:pPr>
          </w:p>
        </w:tc>
      </w:tr>
    </w:tbl>
    <w:p w:rsidR="00984B5B" w:rsidRPr="00703718" w:rsidRDefault="00DD65E6" w:rsidP="00984B5B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Укупно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је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закључен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1</w:t>
      </w:r>
      <w:r w:rsidR="00984B5B" w:rsidRPr="00703718">
        <w:rPr>
          <w:rFonts w:asciiTheme="minorHAnsi" w:hAnsiTheme="minorHAnsi" w:cs="Calibri"/>
          <w:b/>
          <w:sz w:val="22"/>
          <w:szCs w:val="22"/>
          <w:lang w:val="sr-Cyrl-CS"/>
        </w:rPr>
        <w:t xml:space="preserve"> 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>(</w:t>
      </w:r>
      <w:r>
        <w:rPr>
          <w:rFonts w:asciiTheme="minorHAnsi" w:hAnsiTheme="minorHAnsi" w:cs="Calibri"/>
          <w:sz w:val="22"/>
          <w:szCs w:val="22"/>
          <w:lang w:val="sr-Cyrl-CS"/>
        </w:rPr>
        <w:t>један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) </w:t>
      </w:r>
      <w:r>
        <w:rPr>
          <w:rFonts w:asciiTheme="minorHAnsi" w:hAnsiTheme="minorHAnsi" w:cs="Calibri"/>
          <w:sz w:val="22"/>
          <w:szCs w:val="22"/>
          <w:lang w:val="sr-Cyrl-CS"/>
        </w:rPr>
        <w:t>уговор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концесији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области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коришћења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пољопривредног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водног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добра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>.</w:t>
      </w:r>
    </w:p>
    <w:p w:rsidR="00984B5B" w:rsidRPr="00703718" w:rsidRDefault="00984B5B" w:rsidP="00984B5B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984B5B" w:rsidRPr="00703718" w:rsidRDefault="00DD65E6" w:rsidP="00984B5B">
      <w:pPr>
        <w:jc w:val="both"/>
        <w:rPr>
          <w:rFonts w:asciiTheme="minorHAnsi" w:hAnsiTheme="minorHAnsi"/>
          <w:b/>
          <w:sz w:val="22"/>
          <w:szCs w:val="22"/>
          <w:lang w:val="sr-Cyrl-BA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Табела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2</w:t>
      </w:r>
      <w:r w:rsidR="00C76114" w:rsidRPr="00703718">
        <w:rPr>
          <w:rFonts w:asciiTheme="minorHAnsi" w:hAnsiTheme="minorHAnsi"/>
          <w:b/>
          <w:sz w:val="22"/>
          <w:szCs w:val="22"/>
          <w:lang w:val="sr-Cyrl-CS"/>
        </w:rPr>
        <w:t>3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- </w:t>
      </w:r>
      <w:r>
        <w:rPr>
          <w:rFonts w:asciiTheme="minorHAnsi" w:hAnsiTheme="minorHAnsi"/>
          <w:b/>
          <w:sz w:val="22"/>
          <w:szCs w:val="22"/>
          <w:lang w:val="sr-Cyrl-CS"/>
        </w:rPr>
        <w:t>Рјешења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Комисије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о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давању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сагласности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на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Студију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економске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оправданости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из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области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коришћења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пољопривредног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земљишта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водног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добра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2015.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26"/>
        <w:gridCol w:w="2596"/>
        <w:gridCol w:w="1935"/>
        <w:gridCol w:w="1758"/>
      </w:tblGrid>
      <w:tr w:rsidR="00984B5B" w:rsidRPr="00703718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984B5B" w:rsidRPr="00703718" w:rsidTr="00E37B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Студија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економ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оправданости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додјелу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концесије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воде</w:t>
            </w:r>
          </w:p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Одобрена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Студија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Козила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општина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Дринић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BA"/>
              </w:rPr>
              <w:t>Петровац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08.07.2014.</w:t>
            </w:r>
          </w:p>
        </w:tc>
      </w:tr>
    </w:tbl>
    <w:p w:rsidR="00984B5B" w:rsidRPr="00703718" w:rsidRDefault="00DD65E6" w:rsidP="00984B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u-RU"/>
        </w:rPr>
        <w:t>Укупно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је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дата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1 (</w:t>
      </w:r>
      <w:r>
        <w:rPr>
          <w:rFonts w:asciiTheme="minorHAnsi" w:hAnsiTheme="minorHAnsi"/>
          <w:sz w:val="22"/>
          <w:szCs w:val="22"/>
          <w:lang w:val="ru-RU"/>
        </w:rPr>
        <w:t>једна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) </w:t>
      </w:r>
      <w:r>
        <w:rPr>
          <w:rFonts w:asciiTheme="minorHAnsi" w:hAnsiTheme="minorHAnsi"/>
          <w:sz w:val="22"/>
          <w:szCs w:val="22"/>
          <w:lang w:val="ru-RU"/>
        </w:rPr>
        <w:t>сагласност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Студију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економске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оправданости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коришћења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пољопривредног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водног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добра</w:t>
      </w:r>
      <w:r w:rsidR="00984B5B" w:rsidRPr="00703718">
        <w:rPr>
          <w:rFonts w:asciiTheme="minorHAnsi" w:hAnsiTheme="minorHAnsi"/>
          <w:sz w:val="22"/>
          <w:szCs w:val="22"/>
        </w:rPr>
        <w:t>.</w:t>
      </w:r>
    </w:p>
    <w:p w:rsidR="00984B5B" w:rsidRDefault="00984B5B" w:rsidP="00984B5B">
      <w:pPr>
        <w:ind w:left="1134" w:hanging="1134"/>
        <w:jc w:val="both"/>
        <w:rPr>
          <w:rFonts w:asciiTheme="minorHAnsi" w:hAnsiTheme="minorHAnsi"/>
          <w:b/>
          <w:sz w:val="22"/>
          <w:szCs w:val="22"/>
          <w:lang w:val="sr-Cyrl-BA"/>
        </w:rPr>
      </w:pPr>
    </w:p>
    <w:p w:rsidR="001E0A89" w:rsidRDefault="001E0A89" w:rsidP="00984B5B">
      <w:pPr>
        <w:ind w:left="1134" w:hanging="1134"/>
        <w:jc w:val="both"/>
        <w:rPr>
          <w:rFonts w:asciiTheme="minorHAnsi" w:hAnsiTheme="minorHAnsi"/>
          <w:b/>
          <w:sz w:val="22"/>
          <w:szCs w:val="22"/>
          <w:lang w:val="sr-Cyrl-BA"/>
        </w:rPr>
      </w:pPr>
    </w:p>
    <w:p w:rsidR="001E0A89" w:rsidRDefault="001E0A89" w:rsidP="00984B5B">
      <w:pPr>
        <w:ind w:left="1134" w:hanging="1134"/>
        <w:jc w:val="both"/>
        <w:rPr>
          <w:rFonts w:asciiTheme="minorHAnsi" w:hAnsiTheme="minorHAnsi"/>
          <w:b/>
          <w:sz w:val="22"/>
          <w:szCs w:val="22"/>
          <w:lang w:val="sr-Cyrl-BA"/>
        </w:rPr>
      </w:pPr>
    </w:p>
    <w:p w:rsidR="001E0A89" w:rsidRPr="001E0A89" w:rsidRDefault="001E0A89" w:rsidP="00984B5B">
      <w:pPr>
        <w:ind w:left="1134" w:hanging="1134"/>
        <w:jc w:val="both"/>
        <w:rPr>
          <w:rFonts w:asciiTheme="minorHAnsi" w:hAnsiTheme="minorHAnsi"/>
          <w:b/>
          <w:sz w:val="22"/>
          <w:szCs w:val="22"/>
          <w:lang w:val="sr-Cyrl-BA"/>
        </w:rPr>
      </w:pPr>
    </w:p>
    <w:p w:rsidR="00984B5B" w:rsidRPr="00703718" w:rsidRDefault="00DD65E6" w:rsidP="00984B5B">
      <w:pPr>
        <w:jc w:val="both"/>
        <w:rPr>
          <w:rFonts w:asciiTheme="minorHAnsi" w:hAnsiTheme="minorHAnsi"/>
          <w:b/>
          <w:sz w:val="22"/>
          <w:szCs w:val="22"/>
          <w:lang w:val="sr-Cyrl-BA"/>
        </w:rPr>
      </w:pPr>
      <w:r>
        <w:rPr>
          <w:rFonts w:asciiTheme="minorHAnsi" w:hAnsiTheme="minorHAnsi"/>
          <w:b/>
          <w:sz w:val="22"/>
          <w:szCs w:val="22"/>
          <w:lang w:val="ru-RU"/>
        </w:rPr>
        <w:lastRenderedPageBreak/>
        <w:t>Табела</w:t>
      </w:r>
      <w:r w:rsidR="00C76114" w:rsidRPr="00703718">
        <w:rPr>
          <w:rFonts w:asciiTheme="minorHAnsi" w:hAnsiTheme="minorHAnsi"/>
          <w:b/>
          <w:sz w:val="22"/>
          <w:szCs w:val="22"/>
          <w:lang w:val="ru-RU"/>
        </w:rPr>
        <w:t xml:space="preserve"> 24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давање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сагласности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на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документацију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за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јавно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надметање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коришћења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пољопривредног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земљишта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водног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добра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2015.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26"/>
        <w:gridCol w:w="2596"/>
        <w:gridCol w:w="1935"/>
        <w:gridCol w:w="1758"/>
      </w:tblGrid>
      <w:tr w:rsidR="00984B5B" w:rsidRPr="00703718" w:rsidTr="00E37BA8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984B5B" w:rsidRPr="00703718" w:rsidTr="00E37BA8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DD65E6" w:rsidP="00E37BA8">
            <w:pPr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документацију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надметање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додјелу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концесије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изворске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воде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Прибитув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Берковићи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</w:p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28.04.2015.</w:t>
            </w:r>
          </w:p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984B5B" w:rsidRPr="00703718" w:rsidTr="00E37BA8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документацију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надметање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додјелу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концесије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био</w:t>
            </w:r>
            <w:r w:rsidR="00B344F4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масе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водног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земљишта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Подручје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Градишка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Козарска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Дубица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25.08.2015.</w:t>
            </w:r>
          </w:p>
        </w:tc>
      </w:tr>
      <w:tr w:rsidR="00984B5B" w:rsidRPr="00703718" w:rsidTr="00E37BA8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документацију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надметање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додјелу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концесије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коришћење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пољопривредног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земљишта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Подручје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Града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Бијељина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23.09.2015.</w:t>
            </w:r>
          </w:p>
        </w:tc>
      </w:tr>
      <w:tr w:rsidR="00984B5B" w:rsidRPr="00703718" w:rsidTr="00E37BA8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DD65E6" w:rsidP="00E37BA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документацију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надметање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додјелу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концесије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изворске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воде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Дата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Крушево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брдо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Котор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Варош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29.12.2015.</w:t>
            </w:r>
          </w:p>
        </w:tc>
      </w:tr>
    </w:tbl>
    <w:p w:rsidR="00984B5B" w:rsidRPr="00703718" w:rsidRDefault="00DD65E6" w:rsidP="00B344F4">
      <w:pPr>
        <w:spacing w:after="240"/>
        <w:jc w:val="both"/>
        <w:rPr>
          <w:rFonts w:asciiTheme="minorHAnsi" w:hAnsiTheme="minorHAnsi"/>
          <w:sz w:val="22"/>
          <w:szCs w:val="22"/>
          <w:highlight w:val="yellow"/>
          <w:lang w:val="sr-Cyrl-BA"/>
        </w:rPr>
      </w:pPr>
      <w:r>
        <w:rPr>
          <w:rFonts w:asciiTheme="minorHAnsi" w:hAnsiTheme="minorHAnsi"/>
          <w:sz w:val="22"/>
          <w:szCs w:val="22"/>
          <w:lang w:val="ru-RU"/>
        </w:rPr>
        <w:t>Укупно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су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дате</w:t>
      </w:r>
      <w:r w:rsidR="00984B5B" w:rsidRPr="00703718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>4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(</w:t>
      </w:r>
      <w:r>
        <w:rPr>
          <w:rFonts w:asciiTheme="minorHAnsi" w:hAnsiTheme="minorHAnsi"/>
          <w:sz w:val="22"/>
          <w:szCs w:val="22"/>
          <w:lang w:val="ru-RU"/>
        </w:rPr>
        <w:t>четири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) </w:t>
      </w:r>
      <w:r>
        <w:rPr>
          <w:rFonts w:asciiTheme="minorHAnsi" w:hAnsiTheme="minorHAnsi"/>
          <w:sz w:val="22"/>
          <w:szCs w:val="22"/>
          <w:lang w:val="ru-RU"/>
        </w:rPr>
        <w:t>сагласности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документацију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за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јавно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надметање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из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области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коришћења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пољопривредног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земљишта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водног</w:t>
      </w:r>
      <w:r w:rsidR="00984B5B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добра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у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2015.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години</w:t>
      </w:r>
      <w:r w:rsidR="00605F65" w:rsidRPr="00703718">
        <w:rPr>
          <w:rFonts w:asciiTheme="minorHAnsi" w:hAnsiTheme="minorHAnsi"/>
          <w:sz w:val="22"/>
          <w:szCs w:val="22"/>
          <w:lang w:val="ru-RU"/>
        </w:rPr>
        <w:t>.</w:t>
      </w:r>
    </w:p>
    <w:p w:rsidR="00984B5B" w:rsidRPr="001F0881" w:rsidRDefault="00DD65E6" w:rsidP="001F0881">
      <w:pPr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Табела</w:t>
      </w:r>
      <w:r w:rsidR="00C76114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25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sr-Cyrl-CS"/>
        </w:rPr>
        <w:t>Рјешења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Комисије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о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давању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сагласности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за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закључење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уговора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о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концесији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из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области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коришћења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пољопривредног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земљишта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и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водног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добра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у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sr-Cyrl-CS"/>
        </w:rPr>
        <w:t>години</w:t>
      </w:r>
      <w:r w:rsidR="00984B5B" w:rsidRPr="001F0881">
        <w:rPr>
          <w:rFonts w:asciiTheme="minorHAnsi" w:hAnsiTheme="minorHAnsi"/>
          <w:b/>
          <w:sz w:val="22"/>
          <w:szCs w:val="22"/>
          <w:lang w:val="sr-Cyrl-CS"/>
        </w:rPr>
        <w:t>: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520"/>
        <w:gridCol w:w="2954"/>
        <w:gridCol w:w="1966"/>
        <w:gridCol w:w="1706"/>
      </w:tblGrid>
      <w:tr w:rsidR="00984B5B" w:rsidRPr="00703718" w:rsidTr="00E37BA8">
        <w:tc>
          <w:tcPr>
            <w:tcW w:w="588" w:type="dxa"/>
            <w:shd w:val="clear" w:color="auto" w:fill="BFBFBF"/>
            <w:vAlign w:val="center"/>
          </w:tcPr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520" w:type="dxa"/>
            <w:shd w:val="clear" w:color="auto" w:fill="BFBFBF"/>
            <w:vAlign w:val="center"/>
          </w:tcPr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Концесионар</w:t>
            </w:r>
          </w:p>
        </w:tc>
        <w:tc>
          <w:tcPr>
            <w:tcW w:w="2954" w:type="dxa"/>
            <w:shd w:val="clear" w:color="auto" w:fill="BFBFBF"/>
            <w:vAlign w:val="center"/>
          </w:tcPr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1966" w:type="dxa"/>
            <w:shd w:val="clear" w:color="auto" w:fill="BFBFBF"/>
            <w:vAlign w:val="center"/>
          </w:tcPr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706" w:type="dxa"/>
            <w:shd w:val="clear" w:color="auto" w:fill="BFBFBF"/>
            <w:vAlign w:val="center"/>
          </w:tcPr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984B5B" w:rsidRPr="00703718" w:rsidTr="00E37BA8">
        <w:tc>
          <w:tcPr>
            <w:tcW w:w="588" w:type="dxa"/>
            <w:vAlign w:val="center"/>
          </w:tcPr>
          <w:p w:rsidR="00984B5B" w:rsidRPr="00703718" w:rsidRDefault="00984B5B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520" w:type="dxa"/>
            <w:vAlign w:val="center"/>
          </w:tcPr>
          <w:p w:rsidR="00984B5B" w:rsidRPr="00703718" w:rsidRDefault="00984B5B" w:rsidP="00E37BA8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lang w:val="sr-Latn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Latn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АГРОФИН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Требиње</w:t>
            </w:r>
          </w:p>
        </w:tc>
        <w:tc>
          <w:tcPr>
            <w:tcW w:w="2954" w:type="dxa"/>
            <w:vAlign w:val="center"/>
          </w:tcPr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Коришћење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пољопривредног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земљишта</w:t>
            </w:r>
          </w:p>
        </w:tc>
        <w:tc>
          <w:tcPr>
            <w:tcW w:w="1966" w:type="dxa"/>
            <w:vAlign w:val="center"/>
          </w:tcPr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706" w:type="dxa"/>
            <w:vAlign w:val="center"/>
          </w:tcPr>
          <w:p w:rsidR="00984B5B" w:rsidRPr="00703718" w:rsidRDefault="00984B5B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05.11.2015.</w:t>
            </w:r>
          </w:p>
        </w:tc>
      </w:tr>
    </w:tbl>
    <w:p w:rsidR="00984B5B" w:rsidRPr="00703718" w:rsidRDefault="00DD65E6" w:rsidP="00984B5B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Укупно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је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дата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1 (</w:t>
      </w:r>
      <w:r>
        <w:rPr>
          <w:rFonts w:asciiTheme="minorHAnsi" w:hAnsiTheme="minorHAnsi" w:cs="Calibri"/>
          <w:sz w:val="22"/>
          <w:szCs w:val="22"/>
          <w:lang w:val="sr-Cyrl-CS"/>
        </w:rPr>
        <w:t>једна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) </w:t>
      </w:r>
      <w:r>
        <w:rPr>
          <w:rFonts w:asciiTheme="minorHAnsi" w:hAnsiTheme="minorHAnsi" w:cs="Calibri"/>
          <w:sz w:val="22"/>
          <w:szCs w:val="22"/>
          <w:lang w:val="sr-Cyrl-CS"/>
        </w:rPr>
        <w:t>сагласност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закључење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уговора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концесији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области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коришћења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пољопривредног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земљишта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водног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добра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>.</w:t>
      </w:r>
    </w:p>
    <w:p w:rsidR="00984B5B" w:rsidRPr="00703718" w:rsidRDefault="00984B5B" w:rsidP="00984B5B">
      <w:pPr>
        <w:jc w:val="both"/>
        <w:rPr>
          <w:rFonts w:asciiTheme="minorHAnsi" w:hAnsiTheme="minorHAnsi"/>
          <w:b/>
          <w:sz w:val="22"/>
          <w:szCs w:val="22"/>
          <w:lang w:val="sr-Cyrl-BA"/>
        </w:rPr>
      </w:pPr>
    </w:p>
    <w:p w:rsidR="00984B5B" w:rsidRPr="00703718" w:rsidRDefault="00DD65E6" w:rsidP="00984B5B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Табела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C76114" w:rsidRPr="00703718">
        <w:rPr>
          <w:rFonts w:asciiTheme="minorHAnsi" w:hAnsiTheme="minorHAnsi"/>
          <w:b/>
          <w:sz w:val="22"/>
          <w:szCs w:val="22"/>
          <w:lang w:val="ru-RU"/>
        </w:rPr>
        <w:t>26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ru-RU"/>
        </w:rPr>
        <w:t>Рјешења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Комисије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давању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предходне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сагласности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на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Приједлог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уговора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концесији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из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области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sr-Cyrl-CS"/>
        </w:rPr>
        <w:t>коришћења</w:t>
      </w:r>
      <w:r w:rsidR="00984B5B" w:rsidRPr="00703718">
        <w:rPr>
          <w:rFonts w:asciiTheme="minorHAnsi" w:hAnsiTheme="minorHAnsi" w:cs="Calibr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sr-Cyrl-CS"/>
        </w:rPr>
        <w:t>пољопривредног</w:t>
      </w:r>
      <w:r w:rsidR="00984B5B" w:rsidRPr="00703718">
        <w:rPr>
          <w:rFonts w:asciiTheme="minorHAnsi" w:hAnsiTheme="minorHAnsi" w:cs="Calibr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sr-Cyrl-CS"/>
        </w:rPr>
        <w:t>земљишта</w:t>
      </w:r>
      <w:r w:rsidR="00984B5B" w:rsidRPr="00703718">
        <w:rPr>
          <w:rFonts w:asciiTheme="minorHAnsi" w:hAnsiTheme="minorHAnsi" w:cs="Calibr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sr-Cyrl-CS"/>
        </w:rPr>
        <w:t>и</w:t>
      </w:r>
      <w:r w:rsidR="00984B5B" w:rsidRPr="00703718">
        <w:rPr>
          <w:rFonts w:asciiTheme="minorHAnsi" w:hAnsiTheme="minorHAnsi" w:cs="Calibr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sr-Cyrl-CS"/>
        </w:rPr>
        <w:t>водног</w:t>
      </w:r>
      <w:r w:rsidR="00984B5B" w:rsidRPr="00703718">
        <w:rPr>
          <w:rFonts w:asciiTheme="minorHAnsi" w:hAnsiTheme="minorHAnsi" w:cs="Calibr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sr-Cyrl-CS"/>
        </w:rPr>
        <w:t>добра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2015.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520"/>
        <w:gridCol w:w="2732"/>
        <w:gridCol w:w="2188"/>
        <w:gridCol w:w="1861"/>
      </w:tblGrid>
      <w:tr w:rsidR="00984B5B" w:rsidRPr="00703718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Концесионар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984B5B" w:rsidRPr="00703718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rPr>
                <w:rFonts w:asciiTheme="minorHAnsi" w:hAnsiTheme="minorHAnsi"/>
                <w:lang w:val="sr-Cyrl-BA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Latn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МВМ</w:t>
            </w:r>
            <w:r w:rsidRPr="00703718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ЕНЕРГ</w:t>
            </w:r>
            <w:r w:rsidRPr="00703718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Y“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Градишка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био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масе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водног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земљишта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општинама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Градишка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Козарска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Дубица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25.08.2015.</w:t>
            </w:r>
          </w:p>
        </w:tc>
      </w:tr>
      <w:tr w:rsidR="00984B5B" w:rsidRPr="00703718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Latn-BA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Latn-BA"/>
              </w:rPr>
              <w:t>ДРОБЕ</w:t>
            </w:r>
            <w:r w:rsidRPr="00703718">
              <w:rPr>
                <w:rFonts w:asciiTheme="minorHAnsi" w:hAnsiTheme="minorHAnsi"/>
                <w:sz w:val="22"/>
                <w:szCs w:val="22"/>
                <w:lang w:val="sr-Latn-BA"/>
              </w:rPr>
              <w:t>X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Берковићи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Default="00DD65E6" w:rsidP="00E37BA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изворске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воде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извора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Прибитув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Берковићи</w:t>
            </w:r>
          </w:p>
          <w:p w:rsidR="001E0A89" w:rsidRPr="00703718" w:rsidRDefault="001E0A89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89" w:rsidRDefault="00DD65E6" w:rsidP="00E37BA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</w:p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14.12.2015.</w:t>
            </w:r>
          </w:p>
        </w:tc>
      </w:tr>
      <w:tr w:rsidR="00984B5B" w:rsidRPr="00703718" w:rsidTr="00E37B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rPr>
                <w:rFonts w:asciiTheme="minorHAnsi" w:hAnsiTheme="minorHAnsi"/>
                <w:lang w:val="sr-Cyrl-BA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„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ЛОМ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“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BA"/>
              </w:rPr>
              <w:t>Дринић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Експлоатација</w:t>
            </w:r>
            <w:r w:rsidR="00B344F4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воде</w:t>
            </w:r>
            <w:r w:rsidR="00B344F4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B344F4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локацији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Козила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“,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општина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Петровац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DD65E6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Приједлог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5B" w:rsidRPr="00703718" w:rsidRDefault="00984B5B" w:rsidP="00E37BA8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23.12.2015.</w:t>
            </w:r>
          </w:p>
        </w:tc>
      </w:tr>
    </w:tbl>
    <w:p w:rsidR="00984B5B" w:rsidRPr="00B344F4" w:rsidRDefault="00DD65E6" w:rsidP="00B344F4">
      <w:pPr>
        <w:spacing w:after="24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Укупно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су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дата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3 (</w:t>
      </w:r>
      <w:r>
        <w:rPr>
          <w:rFonts w:asciiTheme="minorHAnsi" w:hAnsiTheme="minorHAnsi" w:cs="Calibri"/>
          <w:sz w:val="22"/>
          <w:szCs w:val="22"/>
          <w:lang w:val="sr-Cyrl-CS"/>
        </w:rPr>
        <w:t>три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) </w:t>
      </w:r>
      <w:r>
        <w:rPr>
          <w:rFonts w:asciiTheme="minorHAnsi" w:hAnsiTheme="minorHAnsi" w:cs="Calibri"/>
          <w:sz w:val="22"/>
          <w:szCs w:val="22"/>
          <w:lang w:val="sr-Cyrl-CS"/>
        </w:rPr>
        <w:t>Рјешења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давању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претходне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сагласности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Приједлог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концесији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из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области</w:t>
      </w:r>
      <w:r w:rsidR="00984B5B" w:rsidRPr="00703718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коришћења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пољопривредног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земљишта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водног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добра</w:t>
      </w:r>
      <w:r w:rsidR="00605F65" w:rsidRPr="00703718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984B5B" w:rsidRPr="00703718" w:rsidRDefault="00DD65E6" w:rsidP="00984B5B">
      <w:pPr>
        <w:tabs>
          <w:tab w:val="left" w:pos="993"/>
        </w:tabs>
        <w:jc w:val="both"/>
        <w:rPr>
          <w:rFonts w:asciiTheme="minorHAnsi" w:hAnsiTheme="minorHAnsi"/>
          <w:b/>
          <w:sz w:val="22"/>
          <w:szCs w:val="22"/>
          <w:lang w:val="sr-Cyrl-BA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Табела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="00C76114" w:rsidRPr="00703718">
        <w:rPr>
          <w:rFonts w:asciiTheme="minorHAnsi" w:hAnsiTheme="minorHAnsi"/>
          <w:b/>
          <w:sz w:val="22"/>
          <w:szCs w:val="22"/>
          <w:lang w:val="sr-Cyrl-CS"/>
        </w:rPr>
        <w:t>27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sr-Cyrl-CS"/>
        </w:rPr>
        <w:t>Рјешења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Комисије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о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давању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сагласности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за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закључење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анекса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уговора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о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концесији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из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CS"/>
        </w:rPr>
        <w:t>области</w:t>
      </w:r>
      <w:r w:rsidR="00984B5B" w:rsidRPr="0070371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коришћења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пољопривредног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земљишта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и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водног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добра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у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 xml:space="preserve"> 201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>5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>.</w:t>
      </w:r>
      <w:r w:rsidR="00984B5B" w:rsidRPr="00703718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>години</w:t>
      </w:r>
      <w:r w:rsidR="00984B5B" w:rsidRPr="00703718">
        <w:rPr>
          <w:rFonts w:asciiTheme="minorHAnsi" w:hAnsiTheme="minorHAnsi"/>
          <w:b/>
          <w:sz w:val="22"/>
          <w:szCs w:val="22"/>
          <w:lang w:val="ru-RU"/>
        </w:rPr>
        <w:t>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884"/>
        <w:gridCol w:w="2915"/>
        <w:gridCol w:w="1849"/>
        <w:gridCol w:w="1526"/>
      </w:tblGrid>
      <w:tr w:rsidR="00984B5B" w:rsidRPr="00703718" w:rsidTr="00E37BA8">
        <w:tc>
          <w:tcPr>
            <w:tcW w:w="546" w:type="dxa"/>
            <w:shd w:val="clear" w:color="auto" w:fill="BFBFBF"/>
            <w:vAlign w:val="center"/>
          </w:tcPr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884" w:type="dxa"/>
            <w:shd w:val="clear" w:color="auto" w:fill="BFBFBF"/>
            <w:vAlign w:val="center"/>
          </w:tcPr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Концесионар</w:t>
            </w:r>
          </w:p>
        </w:tc>
        <w:tc>
          <w:tcPr>
            <w:tcW w:w="2915" w:type="dxa"/>
            <w:shd w:val="clear" w:color="auto" w:fill="BFBFBF"/>
            <w:vAlign w:val="center"/>
          </w:tcPr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1849" w:type="dxa"/>
            <w:shd w:val="clear" w:color="auto" w:fill="BFBFBF"/>
            <w:vAlign w:val="center"/>
          </w:tcPr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Статус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Датум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доношења</w:t>
            </w:r>
            <w:r w:rsidR="00984B5B" w:rsidRPr="0070371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Рјешења</w:t>
            </w:r>
          </w:p>
        </w:tc>
      </w:tr>
      <w:tr w:rsidR="00984B5B" w:rsidRPr="00703718" w:rsidTr="00E37BA8">
        <w:tc>
          <w:tcPr>
            <w:tcW w:w="546" w:type="dxa"/>
            <w:vAlign w:val="center"/>
          </w:tcPr>
          <w:p w:rsidR="00984B5B" w:rsidRPr="00703718" w:rsidRDefault="00984B5B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Latn-CS"/>
              </w:rPr>
              <w:t>1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84" w:type="dxa"/>
            <w:vAlign w:val="center"/>
          </w:tcPr>
          <w:p w:rsidR="00984B5B" w:rsidRPr="00703718" w:rsidRDefault="00984B5B" w:rsidP="00E37BA8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ЗП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КОМЕРЦ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Вршани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,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Бијељина</w:t>
            </w:r>
          </w:p>
        </w:tc>
        <w:tc>
          <w:tcPr>
            <w:tcW w:w="2915" w:type="dxa"/>
            <w:vAlign w:val="center"/>
          </w:tcPr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Коришћење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пољопривредног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земљишта</w:t>
            </w:r>
          </w:p>
        </w:tc>
        <w:tc>
          <w:tcPr>
            <w:tcW w:w="1849" w:type="dxa"/>
            <w:vAlign w:val="center"/>
          </w:tcPr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В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526" w:type="dxa"/>
            <w:vAlign w:val="center"/>
          </w:tcPr>
          <w:p w:rsidR="00984B5B" w:rsidRPr="00703718" w:rsidRDefault="00984B5B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lang w:val="sr-Cyrl-BA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18.08.2015.</w:t>
            </w:r>
          </w:p>
        </w:tc>
      </w:tr>
      <w:tr w:rsidR="00984B5B" w:rsidRPr="00703718" w:rsidTr="00E37BA8">
        <w:tc>
          <w:tcPr>
            <w:tcW w:w="546" w:type="dxa"/>
            <w:vAlign w:val="center"/>
          </w:tcPr>
          <w:p w:rsidR="00984B5B" w:rsidRPr="00703718" w:rsidRDefault="00984B5B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884" w:type="dxa"/>
            <w:vAlign w:val="center"/>
          </w:tcPr>
          <w:p w:rsidR="00984B5B" w:rsidRPr="00703718" w:rsidRDefault="00984B5B" w:rsidP="00E37BA8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lang w:val="sr-Cyrl-CS"/>
              </w:rPr>
            </w:pP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„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АГРО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ГРУП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“  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д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  <w:r w:rsidR="00DD65E6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</w:p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Брчко</w:t>
            </w:r>
          </w:p>
        </w:tc>
        <w:tc>
          <w:tcPr>
            <w:tcW w:w="2915" w:type="dxa"/>
            <w:vAlign w:val="center"/>
          </w:tcPr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Коришћење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пољопривредног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земљишта</w:t>
            </w:r>
          </w:p>
        </w:tc>
        <w:tc>
          <w:tcPr>
            <w:tcW w:w="1849" w:type="dxa"/>
            <w:vAlign w:val="center"/>
          </w:tcPr>
          <w:p w:rsidR="00984B5B" w:rsidRPr="00703718" w:rsidRDefault="00DD65E6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Сагласност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закључење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Анекса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И</w:t>
            </w:r>
            <w:r w:rsidR="00984B5B"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уговора</w:t>
            </w:r>
          </w:p>
        </w:tc>
        <w:tc>
          <w:tcPr>
            <w:tcW w:w="1526" w:type="dxa"/>
            <w:vAlign w:val="center"/>
          </w:tcPr>
          <w:p w:rsidR="00984B5B" w:rsidRPr="00703718" w:rsidRDefault="00984B5B" w:rsidP="00E37BA8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</w:rPr>
            </w:pPr>
            <w:r w:rsidRPr="00703718">
              <w:rPr>
                <w:rFonts w:asciiTheme="minorHAnsi" w:hAnsiTheme="minorHAnsi"/>
                <w:sz w:val="22"/>
                <w:szCs w:val="22"/>
              </w:rPr>
              <w:t>19.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11</w:t>
            </w:r>
            <w:r w:rsidRPr="00703718">
              <w:rPr>
                <w:rFonts w:asciiTheme="minorHAnsi" w:hAnsiTheme="minorHAnsi"/>
                <w:sz w:val="22"/>
                <w:szCs w:val="22"/>
              </w:rPr>
              <w:t>.201</w:t>
            </w:r>
            <w:r w:rsidRPr="00703718">
              <w:rPr>
                <w:rFonts w:asciiTheme="minorHAnsi" w:hAnsiTheme="minorHAnsi"/>
                <w:sz w:val="22"/>
                <w:szCs w:val="22"/>
                <w:lang w:val="sr-Cyrl-BA"/>
              </w:rPr>
              <w:t>5</w:t>
            </w:r>
            <w:r w:rsidRPr="007037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984B5B" w:rsidRPr="009D45CD" w:rsidRDefault="00DD65E6" w:rsidP="00984B5B">
      <w:pPr>
        <w:jc w:val="both"/>
        <w:rPr>
          <w:rFonts w:asciiTheme="minorHAnsi" w:hAnsiTheme="minorHAnsi" w:cs="Calibri"/>
          <w:color w:val="FF0000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Укупно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су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дате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2 (</w:t>
      </w:r>
      <w:r>
        <w:rPr>
          <w:rFonts w:asciiTheme="minorHAnsi" w:hAnsiTheme="minorHAnsi" w:cs="Calibri"/>
          <w:sz w:val="22"/>
          <w:szCs w:val="22"/>
          <w:lang w:val="sr-Cyrl-CS"/>
        </w:rPr>
        <w:t>двије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) </w:t>
      </w:r>
      <w:r>
        <w:rPr>
          <w:rFonts w:asciiTheme="minorHAnsi" w:hAnsiTheme="minorHAnsi" w:cs="Calibri"/>
          <w:sz w:val="22"/>
          <w:szCs w:val="22"/>
          <w:lang w:val="sr-Cyrl-CS"/>
        </w:rPr>
        <w:t>сагласности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закључење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анекса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984B5B" w:rsidRPr="007037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концесији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984B5B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области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коришћења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пољопривредног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земљишта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водног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добра</w:t>
      </w:r>
      <w:r w:rsidR="00984B5B" w:rsidRPr="00703718">
        <w:rPr>
          <w:rFonts w:asciiTheme="minorHAnsi" w:hAnsiTheme="minorHAnsi" w:cs="Calibri"/>
          <w:sz w:val="22"/>
          <w:szCs w:val="22"/>
          <w:lang w:val="sr-Cyrl-CS"/>
        </w:rPr>
        <w:t>.</w:t>
      </w:r>
    </w:p>
    <w:p w:rsidR="00984B5B" w:rsidRDefault="00984B5B" w:rsidP="00D42A46">
      <w:pPr>
        <w:spacing w:line="276" w:lineRule="auto"/>
        <w:rPr>
          <w:rFonts w:asciiTheme="minorHAnsi" w:hAnsiTheme="minorHAnsi"/>
          <w:sz w:val="26"/>
          <w:szCs w:val="26"/>
          <w:lang w:val="sr-Cyrl-BA"/>
        </w:rPr>
      </w:pPr>
    </w:p>
    <w:p w:rsidR="0034210D" w:rsidRPr="00B344F4" w:rsidRDefault="0034210D" w:rsidP="00B344F4">
      <w:pPr>
        <w:pStyle w:val="Heading3"/>
        <w:rPr>
          <w:lang w:val="sr-Cyrl-CS"/>
        </w:rPr>
      </w:pPr>
      <w:bookmarkStart w:id="64" w:name="_Toc418075635"/>
      <w:bookmarkStart w:id="65" w:name="_Toc449404341"/>
      <w:r w:rsidRPr="00C140BA">
        <w:t>3.</w:t>
      </w:r>
      <w:r w:rsidR="00984B5B" w:rsidRPr="00C140BA">
        <w:t>7</w:t>
      </w:r>
      <w:r w:rsidRPr="00C140BA">
        <w:t xml:space="preserve">.2. </w:t>
      </w:r>
      <w:r w:rsidR="00DD65E6">
        <w:t>Провјера</w:t>
      </w:r>
      <w:r w:rsidR="005C5187" w:rsidRPr="00C140BA">
        <w:t xml:space="preserve"> </w:t>
      </w:r>
      <w:r w:rsidR="00DD65E6">
        <w:t>рада</w:t>
      </w:r>
      <w:r w:rsidR="005C5187" w:rsidRPr="00C140BA">
        <w:t xml:space="preserve"> </w:t>
      </w:r>
      <w:r w:rsidR="00DD65E6">
        <w:t>Концесионара</w:t>
      </w:r>
      <w:bookmarkEnd w:id="64"/>
      <w:bookmarkEnd w:id="65"/>
      <w:r w:rsidR="004438E9">
        <w:t xml:space="preserve"> </w:t>
      </w:r>
    </w:p>
    <w:p w:rsidR="0034210D" w:rsidRDefault="00DD65E6" w:rsidP="00150094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Комисија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B344F4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B344F4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B344F4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складу</w:t>
      </w:r>
      <w:r w:rsidR="00B344F4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B344F4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чланом</w:t>
      </w:r>
      <w:r w:rsidR="00B344F4">
        <w:rPr>
          <w:rFonts w:asciiTheme="minorHAnsi" w:hAnsiTheme="minorHAnsi"/>
          <w:sz w:val="22"/>
          <w:szCs w:val="22"/>
          <w:lang w:val="sr-Cyrl-CS"/>
        </w:rPr>
        <w:t xml:space="preserve"> 58</w:t>
      </w:r>
      <w:r w:rsidR="00DA3E3A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Закона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концесијама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обавила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605F65" w:rsidRPr="00703718">
        <w:rPr>
          <w:rFonts w:asciiTheme="minorHAnsi" w:hAnsiTheme="minorHAnsi"/>
          <w:sz w:val="22"/>
          <w:szCs w:val="22"/>
          <w:lang w:val="sr-Cyrl-CS"/>
        </w:rPr>
        <w:t>26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(</w:t>
      </w:r>
      <w:r>
        <w:rPr>
          <w:rFonts w:asciiTheme="minorHAnsi" w:hAnsiTheme="minorHAnsi"/>
          <w:sz w:val="22"/>
          <w:szCs w:val="22"/>
          <w:lang w:val="sr-Cyrl-CS"/>
        </w:rPr>
        <w:t>двадесетшест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) </w:t>
      </w:r>
      <w:r>
        <w:rPr>
          <w:rFonts w:asciiTheme="minorHAnsi" w:hAnsiTheme="minorHAnsi"/>
          <w:sz w:val="22"/>
          <w:szCs w:val="22"/>
          <w:lang w:val="sr-Cyrl-CS"/>
        </w:rPr>
        <w:t>провјера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рада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К</w:t>
      </w:r>
      <w:r>
        <w:rPr>
          <w:rFonts w:asciiTheme="minorHAnsi" w:hAnsiTheme="minorHAnsi"/>
          <w:sz w:val="22"/>
          <w:szCs w:val="22"/>
          <w:lang w:val="sr-Cyrl-CS"/>
        </w:rPr>
        <w:t>онцесионара</w:t>
      </w:r>
      <w:r w:rsidR="00062F0D" w:rsidRPr="00703718">
        <w:rPr>
          <w:rFonts w:asciiTheme="minorHAnsi" w:hAnsiTheme="minorHAnsi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односно</w:t>
      </w:r>
      <w:r w:rsidR="00062F0D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реализацију</w:t>
      </w:r>
      <w:r w:rsidR="00062F0D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605F65" w:rsidRPr="00703718">
        <w:rPr>
          <w:rFonts w:asciiTheme="minorHAnsi" w:hAnsiTheme="minorHAnsi"/>
          <w:sz w:val="22"/>
          <w:szCs w:val="22"/>
          <w:lang w:val="sr-Cyrl-BA"/>
        </w:rPr>
        <w:t>26</w:t>
      </w:r>
      <w:r w:rsidR="00062F0D" w:rsidRPr="00703718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Cyrl-BA"/>
        </w:rPr>
        <w:t>двадесетшест</w:t>
      </w:r>
      <w:r w:rsidR="00062F0D" w:rsidRPr="00703718">
        <w:rPr>
          <w:rFonts w:asciiTheme="minorHAnsi" w:hAnsiTheme="minorHAnsi"/>
          <w:sz w:val="22"/>
          <w:szCs w:val="22"/>
          <w:lang w:val="sr-Cyrl-BA"/>
        </w:rPr>
        <w:t>)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закључених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концесији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>.</w:t>
      </w:r>
      <w:r w:rsidR="0034210D" w:rsidRPr="00703718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Провјера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извршена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обиласком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Концесионара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разговорима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овлаштеним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представницима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703718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увидом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релевантну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документацију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те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сачињавањем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записника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свакој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појединачној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извршеној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провјери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основу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провјере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Концесионара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може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исказати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чињеница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да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постоје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Концесионари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6B795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који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уредно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вријеме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извршавају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уговорне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обавезе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те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Концесионари</w:t>
      </w:r>
      <w:r w:rsidR="00E859E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који</w:t>
      </w:r>
      <w:r w:rsidR="00E859E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не</w:t>
      </w:r>
      <w:r w:rsidR="00E859E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извршавају</w:t>
      </w:r>
      <w:r w:rsidR="00E859E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обавезе</w:t>
      </w:r>
      <w:r w:rsidR="00E859EC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складу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закљученим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уговором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Извјестан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број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Концесионара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пољопривредног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земљишта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суочавају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сталним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проблемима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које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смо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 </w:t>
      </w:r>
      <w:r>
        <w:rPr>
          <w:rFonts w:asciiTheme="minorHAnsi" w:hAnsiTheme="minorHAnsi"/>
          <w:sz w:val="22"/>
          <w:szCs w:val="22"/>
          <w:lang w:val="sr-Cyrl-CS"/>
        </w:rPr>
        <w:t>ранијим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извјештајима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наводили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:</w:t>
      </w:r>
    </w:p>
    <w:p w:rsidR="0034210D" w:rsidRPr="005C5187" w:rsidRDefault="00DD65E6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узурпације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пољопривредног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концесијом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стране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трећих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лица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>;</w:t>
      </w:r>
    </w:p>
    <w:p w:rsidR="0034210D" w:rsidRPr="005C5187" w:rsidRDefault="00DD65E6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неувођење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посјед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Cyrl-BA"/>
        </w:rPr>
        <w:t>записнички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уведени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посјед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фактички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одређени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број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није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уведен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посјед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>);</w:t>
      </w:r>
    </w:p>
    <w:p w:rsidR="0034210D" w:rsidRPr="005C5187" w:rsidRDefault="00DD65E6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немогућност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уписа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права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коришћења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концесији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Јавним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регистрима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Cyrl-BA"/>
        </w:rPr>
        <w:t>земљишна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књига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катастар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непокретности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>);</w:t>
      </w:r>
    </w:p>
    <w:p w:rsidR="0034210D" w:rsidRPr="005C5187" w:rsidRDefault="00DD65E6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дио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парцеле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пољопривредног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води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Јавним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регистрима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Хрватске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Концесионари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их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користе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али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могу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исте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остварити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подстицајна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средства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Cyrl-BA"/>
        </w:rPr>
        <w:t>случај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Козарске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Дубице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>);</w:t>
      </w:r>
    </w:p>
    <w:p w:rsidR="0034210D" w:rsidRPr="005C5187" w:rsidRDefault="00DD65E6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неусаглашеност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парцела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јавним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регистрима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фактичким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стањем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терену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обухвату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концесионих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површина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често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налазе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шуме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спортски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терени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изграђено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>.);</w:t>
      </w:r>
    </w:p>
    <w:p w:rsidR="0034210D" w:rsidRDefault="00DD65E6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неплаћање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или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нередовно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плаћање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накнаде</w:t>
      </w:r>
      <w:r w:rsidR="0034210D" w:rsidRPr="005C5187">
        <w:rPr>
          <w:rFonts w:asciiTheme="minorHAnsi" w:hAnsiTheme="minorHAnsi"/>
          <w:sz w:val="22"/>
          <w:szCs w:val="22"/>
          <w:lang w:val="sr-Cyrl-BA"/>
        </w:rPr>
        <w:t>.</w:t>
      </w:r>
    </w:p>
    <w:p w:rsidR="00D42A46" w:rsidRPr="005C5187" w:rsidRDefault="00D42A46" w:rsidP="00D42A46">
      <w:pPr>
        <w:ind w:left="540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34210D" w:rsidRPr="002419AA" w:rsidRDefault="00DD65E6" w:rsidP="00150094">
      <w:pPr>
        <w:shd w:val="clear" w:color="auto" w:fill="FFFFFF"/>
        <w:spacing w:after="120"/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извјештајном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периоду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представници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Комисије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за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концесије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су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извршили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провјеру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рада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Концесионара</w:t>
      </w:r>
      <w:r w:rsidR="0034210D" w:rsidRPr="00232CF6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директним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контактом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Концесионарима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на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терену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прикупљањем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анализирањем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извјештаја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реализацији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концесионог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пројекта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као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анализом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достављене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документације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од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стране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Концесионара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CS"/>
        </w:rPr>
        <w:t>а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циљу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што</w:t>
      </w:r>
      <w:r w:rsidR="0034210D" w:rsidRPr="00232CF6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бољег</w:t>
      </w:r>
      <w:r w:rsidR="0034210D" w:rsidRPr="00232CF6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сагледавања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степена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и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динамике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lastRenderedPageBreak/>
        <w:t>реализације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концесионог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>уговора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овом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извјештајном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периоду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анексиран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извјестан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број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пољопривредног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земљишта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односи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почетак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начин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плаћања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накнаде</w:t>
      </w:r>
      <w:r w:rsidR="0034210D" w:rsidRPr="002419AA">
        <w:rPr>
          <w:rFonts w:asciiTheme="minorHAnsi" w:hAnsiTheme="minorHAnsi"/>
          <w:sz w:val="22"/>
          <w:szCs w:val="22"/>
          <w:lang w:val="sr-Latn-BA"/>
        </w:rPr>
        <w:t>,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као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усклађивањем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предмета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- </w:t>
      </w:r>
      <w:r>
        <w:rPr>
          <w:rFonts w:asciiTheme="minorHAnsi" w:hAnsiTheme="minorHAnsi"/>
          <w:sz w:val="22"/>
          <w:szCs w:val="22"/>
          <w:lang w:val="sr-Cyrl-CS"/>
        </w:rPr>
        <w:t>земљишне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површине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подацима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јавних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регистара</w:t>
      </w:r>
      <w:r w:rsidR="0034210D" w:rsidRPr="002419AA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>(</w:t>
      </w:r>
      <w:r>
        <w:rPr>
          <w:rFonts w:asciiTheme="minorHAnsi" w:hAnsiTheme="minorHAnsi"/>
          <w:sz w:val="22"/>
          <w:szCs w:val="22"/>
          <w:lang w:val="sr-Cyrl-CS"/>
        </w:rPr>
        <w:t>земљишне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књиге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катастар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непокретности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), </w:t>
      </w:r>
      <w:r>
        <w:rPr>
          <w:rFonts w:asciiTheme="minorHAnsi" w:hAnsiTheme="minorHAnsi"/>
          <w:sz w:val="22"/>
          <w:szCs w:val="22"/>
          <w:lang w:val="sr-Cyrl-CS"/>
        </w:rPr>
        <w:t>те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искључивање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непољопривредног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земљишта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предмета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(</w:t>
      </w:r>
      <w:r>
        <w:rPr>
          <w:rFonts w:asciiTheme="minorHAnsi" w:hAnsiTheme="minorHAnsi"/>
          <w:sz w:val="22"/>
          <w:szCs w:val="22"/>
          <w:lang w:val="sr-Cyrl-CS"/>
        </w:rPr>
        <w:t>шума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путева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спортских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терена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изграђеног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земљишта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друго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>).</w:t>
      </w:r>
    </w:p>
    <w:p w:rsidR="00D42A46" w:rsidRPr="005C5187" w:rsidRDefault="00DD65E6" w:rsidP="00605F65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CS"/>
        </w:rPr>
        <w:t>Комисија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мишљења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Пореска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управа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овлаштена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врши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надзор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утврђивање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обавезе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плаћања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пољопривредног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земљишта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складу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концесионим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односом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уговорних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страна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али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није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овлаштена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успоставља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или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мијења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>-</w:t>
      </w:r>
      <w:r>
        <w:rPr>
          <w:rFonts w:asciiTheme="minorHAnsi" w:hAnsiTheme="minorHAnsi"/>
          <w:sz w:val="22"/>
          <w:szCs w:val="22"/>
          <w:lang w:val="sr-Cyrl-CS"/>
        </w:rPr>
        <w:t>правни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однос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шта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надлежно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Министарство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пољопривреде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шумарства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водопривреде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као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уговорна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страна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односно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Концедент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Стога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Комисија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сматра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сва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права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обавезе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проистичу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уговорног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односа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од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момента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када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конкретан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правни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однос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ступи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снагу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Што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тиче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иста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представља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новчани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еквивалент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концесионог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добра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обавезан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елемент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Закон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концесијама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такође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регулише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</w:t>
      </w:r>
      <w:r w:rsidR="009E6D98">
        <w:rPr>
          <w:rFonts w:asciiTheme="minorHAnsi" w:hAnsiTheme="minorHAnsi"/>
          <w:sz w:val="22"/>
          <w:szCs w:val="22"/>
          <w:lang w:val="sr-Cyrl-CS"/>
        </w:rPr>
        <w:t>,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сваки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који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садржи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одредбу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плаћању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накнаде</w:t>
      </w:r>
      <w:r w:rsidR="009E6D98">
        <w:rPr>
          <w:rFonts w:asciiTheme="minorHAnsi" w:hAnsiTheme="minorHAnsi"/>
          <w:sz w:val="22"/>
          <w:szCs w:val="22"/>
          <w:lang w:val="sr-Cyrl-CS"/>
        </w:rPr>
        <w:t>,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ништаван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Сматрамо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уговорне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стране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односно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Концедент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Концесионар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требају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наредном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периоду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извршити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поравнање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уплата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како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би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створила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реална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слика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плаћању</w:t>
      </w:r>
      <w:r w:rsidR="00664CF1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концесионе</w:t>
      </w:r>
      <w:r w:rsidR="00664CF1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накнаде</w:t>
      </w:r>
      <w:r w:rsidR="00664CF1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</w:t>
      </w:r>
      <w:r w:rsidR="00664CF1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основу</w:t>
      </w:r>
      <w:r w:rsidR="00664CF1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пољопривредног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земљишта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 xml:space="preserve">. </w:t>
      </w:r>
    </w:p>
    <w:p w:rsidR="0034210D" w:rsidRDefault="00DD65E6" w:rsidP="00150094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</w:rPr>
        <w:t>Ко</w:t>
      </w:r>
      <w:r>
        <w:rPr>
          <w:rFonts w:asciiTheme="minorHAnsi" w:hAnsiTheme="minorHAnsi"/>
          <w:sz w:val="22"/>
          <w:szCs w:val="22"/>
          <w:lang w:val="sr-Cyrl-CS"/>
        </w:rPr>
        <w:t>мисија</w:t>
      </w:r>
      <w:r w:rsidR="0034210D" w:rsidRPr="002419AA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контролисаним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концесионим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друштвима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201</w:t>
      </w:r>
      <w:r w:rsidR="00605F65">
        <w:rPr>
          <w:rFonts w:asciiTheme="minorHAnsi" w:hAnsiTheme="minorHAnsi"/>
          <w:sz w:val="22"/>
          <w:szCs w:val="22"/>
          <w:lang w:val="sr-Cyrl-CS"/>
        </w:rPr>
        <w:t>5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години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није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констатовала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нити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један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случај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издавања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земљишта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закуп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трећим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лицима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што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сматрамо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унапређењем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концесионих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односа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друге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стране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заинтересованошћу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Концесионара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коришћење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пољопривредног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земљишта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тиме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оправданост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постојања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система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пољопривредног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земљишта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извјештајном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периоду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смањен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број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узурпација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пољопривредног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земљишта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стране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бесправних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корисника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регистрован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код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концесионих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корисника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као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што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случај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Концесионарима</w:t>
      </w:r>
      <w:r w:rsidR="0034210D" w:rsidRPr="00232CF6">
        <w:rPr>
          <w:rFonts w:asciiTheme="minorHAnsi" w:hAnsiTheme="minorHAnsi"/>
          <w:sz w:val="22"/>
          <w:szCs w:val="22"/>
          <w:lang w:val="sr-Cyrl-CS"/>
        </w:rPr>
        <w:t>:</w:t>
      </w:r>
    </w:p>
    <w:p w:rsidR="0034210D" w:rsidRPr="00C140BA" w:rsidRDefault="00CB7FD1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C140BA">
        <w:rPr>
          <w:rFonts w:asciiTheme="minorHAnsi" w:hAnsiTheme="minorHAnsi"/>
          <w:sz w:val="22"/>
          <w:szCs w:val="22"/>
          <w:lang w:val="sr-Cyrl-BA"/>
        </w:rPr>
        <w:t>„</w:t>
      </w:r>
      <w:r w:rsidR="00DD65E6">
        <w:rPr>
          <w:rFonts w:asciiTheme="minorHAnsi" w:hAnsiTheme="minorHAnsi"/>
          <w:sz w:val="22"/>
          <w:szCs w:val="22"/>
          <w:lang w:val="sr-Cyrl-BA"/>
        </w:rPr>
        <w:t>Фармланд</w:t>
      </w:r>
      <w:r w:rsidRPr="00C140BA">
        <w:rPr>
          <w:rFonts w:asciiTheme="minorHAnsi" w:hAnsiTheme="minorHAnsi"/>
          <w:sz w:val="22"/>
          <w:szCs w:val="22"/>
          <w:lang w:val="sr-Cyrl-BA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BA"/>
        </w:rPr>
        <w:t>а</w:t>
      </w:r>
      <w:r w:rsidRPr="00C140BA">
        <w:rPr>
          <w:rFonts w:asciiTheme="minorHAnsi" w:hAnsiTheme="minorHAnsi"/>
          <w:sz w:val="22"/>
          <w:szCs w:val="22"/>
          <w:lang w:val="sr-Cyrl-BA"/>
        </w:rPr>
        <w:t>.</w:t>
      </w:r>
      <w:r w:rsidR="00DD65E6">
        <w:rPr>
          <w:rFonts w:asciiTheme="minorHAnsi" w:hAnsiTheme="minorHAnsi"/>
          <w:sz w:val="22"/>
          <w:szCs w:val="22"/>
          <w:lang w:val="sr-Cyrl-BA"/>
        </w:rPr>
        <w:t>д</w:t>
      </w:r>
      <w:r w:rsidRPr="00C140BA">
        <w:rPr>
          <w:rFonts w:asciiTheme="minorHAnsi" w:hAnsiTheme="minorHAnsi"/>
          <w:sz w:val="22"/>
          <w:szCs w:val="22"/>
          <w:lang w:val="sr-Cyrl-BA"/>
        </w:rPr>
        <w:t xml:space="preserve">. </w:t>
      </w:r>
      <w:r w:rsidR="00DD65E6">
        <w:rPr>
          <w:rFonts w:asciiTheme="minorHAnsi" w:hAnsiTheme="minorHAnsi"/>
          <w:sz w:val="22"/>
          <w:szCs w:val="22"/>
          <w:lang w:val="sr-Cyrl-BA"/>
        </w:rPr>
        <w:t>Нова</w:t>
      </w:r>
      <w:r w:rsidRPr="00C140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Топола</w:t>
      </w:r>
      <w:r w:rsidRPr="00C140BA">
        <w:rPr>
          <w:rFonts w:asciiTheme="minorHAnsi" w:hAnsiTheme="minorHAnsi"/>
          <w:sz w:val="22"/>
          <w:szCs w:val="22"/>
          <w:lang w:val="sr-Cyrl-BA"/>
        </w:rPr>
        <w:t>;</w:t>
      </w:r>
    </w:p>
    <w:p w:rsidR="0034210D" w:rsidRPr="00C140BA" w:rsidRDefault="0034210D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 w:rsidRPr="00C140BA">
        <w:rPr>
          <w:rFonts w:asciiTheme="minorHAnsi" w:hAnsiTheme="minorHAnsi"/>
          <w:sz w:val="22"/>
          <w:szCs w:val="22"/>
          <w:lang w:val="sr-Cyrl-BA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BA"/>
        </w:rPr>
        <w:t>Зелен</w:t>
      </w:r>
      <w:r w:rsidRPr="00C140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Гај</w:t>
      </w:r>
      <w:r w:rsidRPr="00C140BA">
        <w:rPr>
          <w:rFonts w:asciiTheme="minorHAnsi" w:hAnsiTheme="minorHAnsi"/>
          <w:sz w:val="22"/>
          <w:szCs w:val="22"/>
          <w:lang w:val="sr-Cyrl-BA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BA"/>
        </w:rPr>
        <w:t>д</w:t>
      </w:r>
      <w:r w:rsidRPr="00C140BA">
        <w:rPr>
          <w:rFonts w:asciiTheme="minorHAnsi" w:hAnsiTheme="minorHAnsi"/>
          <w:sz w:val="22"/>
          <w:szCs w:val="22"/>
          <w:lang w:val="sr-Cyrl-BA"/>
        </w:rPr>
        <w:t>.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C140BA">
        <w:rPr>
          <w:rFonts w:asciiTheme="minorHAnsi" w:hAnsiTheme="minorHAnsi"/>
          <w:sz w:val="22"/>
          <w:szCs w:val="22"/>
          <w:lang w:val="sr-Cyrl-BA"/>
        </w:rPr>
        <w:t>.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Pr="00C140BA">
        <w:rPr>
          <w:rFonts w:asciiTheme="minorHAnsi" w:hAnsiTheme="minorHAnsi"/>
          <w:sz w:val="22"/>
          <w:szCs w:val="22"/>
          <w:lang w:val="sr-Cyrl-BA"/>
        </w:rPr>
        <w:t xml:space="preserve">. </w:t>
      </w:r>
      <w:r w:rsidR="00DD65E6">
        <w:rPr>
          <w:rFonts w:asciiTheme="minorHAnsi" w:hAnsiTheme="minorHAnsi"/>
          <w:sz w:val="22"/>
          <w:szCs w:val="22"/>
          <w:lang w:val="sr-Cyrl-BA"/>
        </w:rPr>
        <w:t>Градишка</w:t>
      </w:r>
      <w:r w:rsidRPr="00C140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и</w:t>
      </w:r>
      <w:r w:rsidRPr="00C140BA">
        <w:rPr>
          <w:rFonts w:asciiTheme="minorHAnsi" w:hAnsiTheme="minorHAnsi"/>
          <w:sz w:val="22"/>
          <w:szCs w:val="22"/>
          <w:lang w:val="sr-Cyrl-BA"/>
        </w:rPr>
        <w:t xml:space="preserve"> </w:t>
      </w:r>
    </w:p>
    <w:p w:rsidR="0034210D" w:rsidRPr="00C140BA" w:rsidRDefault="009E6D98" w:rsidP="00B2144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 xml:space="preserve"> „</w:t>
      </w:r>
      <w:r w:rsidR="00DD65E6">
        <w:rPr>
          <w:rFonts w:asciiTheme="minorHAnsi" w:hAnsiTheme="minorHAnsi"/>
          <w:sz w:val="22"/>
          <w:szCs w:val="22"/>
          <w:lang w:val="sr-Cyrl-BA"/>
        </w:rPr>
        <w:t>Тера</w:t>
      </w:r>
      <w:r w:rsidR="0034210D" w:rsidRPr="00C140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D65E6">
        <w:rPr>
          <w:rFonts w:asciiTheme="minorHAnsi" w:hAnsiTheme="minorHAnsi"/>
          <w:sz w:val="22"/>
          <w:szCs w:val="22"/>
          <w:lang w:val="sr-Cyrl-BA"/>
        </w:rPr>
        <w:t>Нова</w:t>
      </w:r>
      <w:r w:rsidR="0034210D" w:rsidRPr="00C140BA">
        <w:rPr>
          <w:rFonts w:asciiTheme="minorHAnsi" w:hAnsiTheme="minorHAnsi"/>
          <w:sz w:val="22"/>
          <w:szCs w:val="22"/>
          <w:lang w:val="sr-Cyrl-BA"/>
        </w:rPr>
        <w:t xml:space="preserve">“ </w:t>
      </w:r>
      <w:r w:rsidR="00DD65E6">
        <w:rPr>
          <w:rFonts w:asciiTheme="minorHAnsi" w:hAnsiTheme="minorHAnsi"/>
          <w:sz w:val="22"/>
          <w:szCs w:val="22"/>
          <w:lang w:val="sr-Cyrl-BA"/>
        </w:rPr>
        <w:t>д</w:t>
      </w:r>
      <w:r w:rsidR="0034210D" w:rsidRPr="00C140BA">
        <w:rPr>
          <w:rFonts w:asciiTheme="minorHAnsi" w:hAnsiTheme="minorHAnsi"/>
          <w:sz w:val="22"/>
          <w:szCs w:val="22"/>
          <w:lang w:val="sr-Cyrl-BA"/>
        </w:rPr>
        <w:t>.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="0034210D" w:rsidRPr="00C140BA">
        <w:rPr>
          <w:rFonts w:asciiTheme="minorHAnsi" w:hAnsiTheme="minorHAnsi"/>
          <w:sz w:val="22"/>
          <w:szCs w:val="22"/>
          <w:lang w:val="sr-Cyrl-BA"/>
        </w:rPr>
        <w:t>.</w:t>
      </w:r>
      <w:r w:rsidR="00DD65E6">
        <w:rPr>
          <w:rFonts w:asciiTheme="minorHAnsi" w:hAnsiTheme="minorHAnsi"/>
          <w:sz w:val="22"/>
          <w:szCs w:val="22"/>
          <w:lang w:val="sr-Cyrl-BA"/>
        </w:rPr>
        <w:t>о</w:t>
      </w:r>
      <w:r w:rsidR="0034210D" w:rsidRPr="00C140BA">
        <w:rPr>
          <w:rFonts w:asciiTheme="minorHAnsi" w:hAnsiTheme="minorHAnsi"/>
          <w:sz w:val="22"/>
          <w:szCs w:val="22"/>
          <w:lang w:val="sr-Cyrl-BA"/>
        </w:rPr>
        <w:t xml:space="preserve">. </w:t>
      </w:r>
      <w:r w:rsidR="00DD65E6">
        <w:rPr>
          <w:rFonts w:asciiTheme="minorHAnsi" w:hAnsiTheme="minorHAnsi"/>
          <w:sz w:val="22"/>
          <w:szCs w:val="22"/>
          <w:lang w:val="sr-Cyrl-BA"/>
        </w:rPr>
        <w:t>Градишка</w:t>
      </w:r>
      <w:r w:rsidR="0034210D" w:rsidRPr="00C140BA">
        <w:rPr>
          <w:rFonts w:asciiTheme="minorHAnsi" w:hAnsiTheme="minorHAnsi"/>
          <w:sz w:val="22"/>
          <w:szCs w:val="22"/>
          <w:lang w:val="sr-Cyrl-BA"/>
        </w:rPr>
        <w:t>.</w:t>
      </w:r>
    </w:p>
    <w:p w:rsidR="00D42A46" w:rsidRPr="005C5187" w:rsidRDefault="00D42A46" w:rsidP="00D42A46">
      <w:pPr>
        <w:ind w:left="540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34210D" w:rsidRDefault="00DD65E6" w:rsidP="00150094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Посебно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морамо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нагласити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друштва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током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201</w:t>
      </w:r>
      <w:r w:rsidR="009629B3">
        <w:rPr>
          <w:rFonts w:asciiTheme="minorHAnsi" w:hAnsiTheme="minorHAnsi"/>
          <w:sz w:val="22"/>
          <w:szCs w:val="22"/>
          <w:lang w:val="sr-Cyrl-BA"/>
        </w:rPr>
        <w:t>5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претрпјела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огромне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штете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усјевима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засадима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воћа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усљед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елементарне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непогоде</w:t>
      </w:r>
      <w:r w:rsidR="00664CF1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>(</w:t>
      </w:r>
      <w:r>
        <w:rPr>
          <w:rFonts w:asciiTheme="minorHAnsi" w:hAnsiTheme="minorHAnsi"/>
          <w:sz w:val="22"/>
          <w:szCs w:val="22"/>
          <w:lang w:val="sr-Cyrl-BA"/>
        </w:rPr>
        <w:t>поплаве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град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мраз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прекомјерне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падавине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друго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). </w:t>
      </w:r>
      <w:r>
        <w:rPr>
          <w:rFonts w:asciiTheme="minorHAnsi" w:hAnsiTheme="minorHAnsi"/>
          <w:sz w:val="22"/>
          <w:szCs w:val="22"/>
          <w:lang w:val="sr-Cyrl-BA"/>
        </w:rPr>
        <w:t>Приликом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обиласка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концесионих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површина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представници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констатовали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поједини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слабо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одржавају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пољопривредно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добијено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концесију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Одводни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доводни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канали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запуштени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не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врши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дренажа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пољопривредног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Крчењем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чишћењем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одводних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доводних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канала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дренажом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земљишних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површина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умањиле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посљедице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поплава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подземних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самим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тим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приноси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пољопривредних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култура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били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знатно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већи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Ове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чињенице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презентоване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Концесионарима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јер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им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представља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уговорну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обавезу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те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наредном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периоду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неопходан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наведеном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проблему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сарадњи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Министарством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шумарства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водопривреде</w:t>
      </w:r>
      <w:r w:rsidR="0034210D" w:rsidRPr="00232CF6">
        <w:rPr>
          <w:rFonts w:asciiTheme="minorHAnsi" w:hAnsiTheme="minorHAnsi"/>
          <w:sz w:val="22"/>
          <w:szCs w:val="22"/>
          <w:lang w:val="sr-Cyrl-BA"/>
        </w:rPr>
        <w:t xml:space="preserve">.  </w:t>
      </w:r>
    </w:p>
    <w:p w:rsidR="001E0A89" w:rsidRPr="00232CF6" w:rsidRDefault="001E0A89" w:rsidP="00150094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4438E9" w:rsidRPr="00703718" w:rsidRDefault="004438E9" w:rsidP="009E6D98">
      <w:pPr>
        <w:pStyle w:val="Heading3"/>
      </w:pPr>
      <w:bookmarkStart w:id="66" w:name="_Toc418075636"/>
      <w:bookmarkStart w:id="67" w:name="_Toc449404342"/>
      <w:r w:rsidRPr="00703718">
        <w:rPr>
          <w:lang w:val="sr-Latn-BA"/>
        </w:rPr>
        <w:t>3.</w:t>
      </w:r>
      <w:r w:rsidRPr="00703718">
        <w:rPr>
          <w:lang w:val="sr-Cyrl-CS"/>
        </w:rPr>
        <w:t>7.</w:t>
      </w:r>
      <w:r w:rsidRPr="00703718">
        <w:t>3</w:t>
      </w:r>
      <w:r w:rsidRPr="00703718">
        <w:rPr>
          <w:lang w:val="sr-Cyrl-CS"/>
        </w:rPr>
        <w:t>.</w:t>
      </w:r>
      <w:r w:rsidRPr="00703718">
        <w:rPr>
          <w:b/>
          <w:lang w:val="sr-Cyrl-CS"/>
        </w:rPr>
        <w:t xml:space="preserve"> </w:t>
      </w:r>
      <w:r w:rsidR="00DD65E6">
        <w:t>Преглед</w:t>
      </w:r>
      <w:r w:rsidRPr="00703718">
        <w:t xml:space="preserve"> </w:t>
      </w:r>
      <w:r w:rsidR="00DD65E6">
        <w:t>активности</w:t>
      </w:r>
      <w:r w:rsidRPr="00703718">
        <w:t xml:space="preserve"> </w:t>
      </w:r>
      <w:r w:rsidR="00DD65E6">
        <w:t>на</w:t>
      </w:r>
      <w:r w:rsidRPr="00703718">
        <w:t xml:space="preserve"> </w:t>
      </w:r>
      <w:r w:rsidR="00DD65E6">
        <w:t>реализацији</w:t>
      </w:r>
      <w:r w:rsidRPr="00703718">
        <w:t xml:space="preserve"> </w:t>
      </w:r>
      <w:r w:rsidR="00DD65E6">
        <w:t>Уговора</w:t>
      </w:r>
      <w:r w:rsidRPr="00703718">
        <w:t xml:space="preserve"> </w:t>
      </w:r>
      <w:r w:rsidR="00DD65E6">
        <w:t>о</w:t>
      </w:r>
      <w:r w:rsidRPr="00703718">
        <w:t xml:space="preserve"> </w:t>
      </w:r>
      <w:r w:rsidR="00DD65E6">
        <w:t>концесији</w:t>
      </w:r>
      <w:r w:rsidRPr="00703718">
        <w:t xml:space="preserve"> </w:t>
      </w:r>
      <w:r w:rsidR="00DD65E6">
        <w:t>из</w:t>
      </w:r>
      <w:r w:rsidRPr="00703718">
        <w:t xml:space="preserve"> </w:t>
      </w:r>
      <w:r w:rsidR="00DD65E6">
        <w:t>области</w:t>
      </w:r>
      <w:r w:rsidRPr="00703718">
        <w:t xml:space="preserve"> </w:t>
      </w:r>
      <w:r w:rsidR="00DD65E6">
        <w:t>коришћења</w:t>
      </w:r>
      <w:r w:rsidRPr="00703718">
        <w:t xml:space="preserve"> </w:t>
      </w:r>
      <w:r w:rsidR="00DD65E6">
        <w:t>пољопривредног</w:t>
      </w:r>
      <w:r w:rsidRPr="00703718">
        <w:t xml:space="preserve"> </w:t>
      </w:r>
      <w:r w:rsidR="00DD65E6">
        <w:t>земљишта</w:t>
      </w:r>
      <w:r w:rsidR="004F4721" w:rsidRPr="00703718">
        <w:t xml:space="preserve"> </w:t>
      </w:r>
      <w:r w:rsidR="00DD65E6">
        <w:t>и</w:t>
      </w:r>
      <w:r w:rsidR="004F4721" w:rsidRPr="00703718">
        <w:t xml:space="preserve"> </w:t>
      </w:r>
      <w:r w:rsidR="00DD65E6">
        <w:t>водних</w:t>
      </w:r>
      <w:r w:rsidR="004F4721" w:rsidRPr="00703718">
        <w:t xml:space="preserve"> </w:t>
      </w:r>
      <w:r w:rsidR="00DD65E6">
        <w:t>добара</w:t>
      </w:r>
      <w:r w:rsidR="004F4721" w:rsidRPr="00703718">
        <w:t xml:space="preserve"> </w:t>
      </w:r>
      <w:r w:rsidR="00DD65E6">
        <w:t>у</w:t>
      </w:r>
      <w:r w:rsidR="004F4721" w:rsidRPr="00703718">
        <w:t xml:space="preserve"> 2015. </w:t>
      </w:r>
      <w:r w:rsidR="00DD65E6">
        <w:t>години</w:t>
      </w:r>
      <w:bookmarkEnd w:id="66"/>
      <w:bookmarkEnd w:id="67"/>
    </w:p>
    <w:p w:rsidR="00F43FB9" w:rsidRPr="00F43FB9" w:rsidRDefault="00DD65E6" w:rsidP="00F43FB9">
      <w:pPr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b/>
          <w:sz w:val="22"/>
          <w:szCs w:val="22"/>
        </w:rPr>
        <w:t>У</w:t>
      </w:r>
      <w:r w:rsidR="004438E9" w:rsidRPr="00F43FB9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П</w:t>
      </w:r>
      <w:r>
        <w:rPr>
          <w:rFonts w:asciiTheme="minorHAnsi" w:hAnsiTheme="minorHAnsi"/>
          <w:b/>
          <w:sz w:val="22"/>
          <w:szCs w:val="22"/>
        </w:rPr>
        <w:t>рилогу</w:t>
      </w:r>
      <w:r w:rsidR="004438E9" w:rsidRPr="00F43FB9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бр</w:t>
      </w:r>
      <w:r>
        <w:rPr>
          <w:rFonts w:asciiTheme="minorHAnsi" w:hAnsiTheme="minorHAnsi"/>
          <w:b/>
          <w:sz w:val="22"/>
          <w:szCs w:val="22"/>
          <w:lang w:val="sr-Cyrl-BA"/>
        </w:rPr>
        <w:t>ој</w:t>
      </w:r>
      <w:r w:rsidR="004438E9" w:rsidRPr="00F43FB9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 w:rsidR="00F43FB9" w:rsidRPr="00F43FB9">
        <w:rPr>
          <w:rFonts w:asciiTheme="minorHAnsi" w:hAnsiTheme="minorHAnsi"/>
          <w:b/>
          <w:sz w:val="22"/>
          <w:szCs w:val="22"/>
          <w:lang w:val="sr-Cyrl-BA"/>
        </w:rPr>
        <w:t>6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F43FB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</w:rPr>
        <w:t>Извјештаја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о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раду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Комисије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за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концесије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Републике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Српске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за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201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>5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sz w:val="22"/>
          <w:szCs w:val="22"/>
        </w:rPr>
        <w:t>годину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sz w:val="22"/>
          <w:szCs w:val="22"/>
        </w:rPr>
        <w:t>дат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је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</w:rPr>
        <w:t>табеларни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преглед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активности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на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реализацији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Уговора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о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концесији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из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области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коришћења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пољопривредног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земљишта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водних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добара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у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201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>5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г</w:t>
      </w:r>
      <w:r>
        <w:rPr>
          <w:rFonts w:asciiTheme="minorHAnsi" w:hAnsiTheme="minorHAnsi"/>
          <w:sz w:val="22"/>
          <w:szCs w:val="22"/>
        </w:rPr>
        <w:t>одини</w:t>
      </w:r>
      <w:r w:rsidR="00F43FB9" w:rsidRPr="00F43FB9">
        <w:rPr>
          <w:rFonts w:asciiTheme="minorHAnsi" w:hAnsiTheme="minorHAnsi"/>
          <w:sz w:val="22"/>
          <w:szCs w:val="22"/>
          <w:lang w:val="sr-Cyrl-BA"/>
        </w:rPr>
        <w:t>.</w:t>
      </w:r>
    </w:p>
    <w:p w:rsidR="004438E9" w:rsidRDefault="00DD65E6" w:rsidP="00F43FB9">
      <w:pPr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b/>
          <w:sz w:val="22"/>
          <w:szCs w:val="22"/>
          <w:lang w:val="sr-Cyrl-BA"/>
        </w:rPr>
        <w:lastRenderedPageBreak/>
        <w:t>У</w:t>
      </w:r>
      <w:r w:rsidR="004438E9" w:rsidRPr="00F43FB9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П</w:t>
      </w:r>
      <w:r>
        <w:rPr>
          <w:rFonts w:asciiTheme="minorHAnsi" w:hAnsiTheme="minorHAnsi"/>
          <w:b/>
          <w:sz w:val="22"/>
          <w:szCs w:val="22"/>
        </w:rPr>
        <w:t>рилогу</w:t>
      </w:r>
      <w:r w:rsidR="004438E9" w:rsidRPr="00F43FB9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број</w:t>
      </w:r>
      <w:r w:rsidR="004438E9" w:rsidRPr="00F43FB9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="00F43FB9" w:rsidRPr="00F43FB9">
        <w:rPr>
          <w:rFonts w:asciiTheme="minorHAnsi" w:hAnsiTheme="minorHAnsi"/>
          <w:b/>
          <w:sz w:val="22"/>
          <w:szCs w:val="22"/>
          <w:lang w:val="sr-Cyrl-BA"/>
        </w:rPr>
        <w:t>7</w:t>
      </w:r>
      <w:r w:rsidR="00703718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Извјештаја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дат</w:t>
      </w:r>
      <w:r w:rsidR="00F43FB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F43FB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</w:t>
      </w:r>
      <w:r>
        <w:rPr>
          <w:rFonts w:asciiTheme="minorHAnsi" w:hAnsiTheme="minorHAnsi"/>
          <w:sz w:val="22"/>
          <w:szCs w:val="22"/>
        </w:rPr>
        <w:t>реглед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споразумно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једнострано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раскинутих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Уговора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за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коришћење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пољопривредног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земљишта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</w:rPr>
        <w:t>у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 201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>5</w:t>
      </w:r>
      <w:r w:rsidR="004438E9" w:rsidRPr="00F43FB9">
        <w:rPr>
          <w:rFonts w:asciiTheme="minorHAnsi" w:hAnsiTheme="minorHAnsi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г</w:t>
      </w:r>
      <w:r>
        <w:rPr>
          <w:rFonts w:asciiTheme="minorHAnsi" w:hAnsiTheme="minorHAnsi"/>
          <w:sz w:val="22"/>
          <w:szCs w:val="22"/>
        </w:rPr>
        <w:t>одини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>,</w:t>
      </w:r>
      <w:r w:rsidR="00C140BA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чега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видљиво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Министарство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пољопривреде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шумарства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водопривреде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раскинуло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само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1 (</w:t>
      </w:r>
      <w:r>
        <w:rPr>
          <w:rFonts w:asciiTheme="minorHAnsi" w:hAnsiTheme="minorHAnsi"/>
          <w:sz w:val="22"/>
          <w:szCs w:val="22"/>
          <w:lang w:val="sr-Cyrl-BA"/>
        </w:rPr>
        <w:t>један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) </w:t>
      </w:r>
      <w:r>
        <w:rPr>
          <w:rFonts w:asciiTheme="minorHAnsi" w:hAnsiTheme="minorHAnsi"/>
          <w:sz w:val="22"/>
          <w:szCs w:val="22"/>
          <w:lang w:val="sr-Cyrl-BA"/>
        </w:rPr>
        <w:t>Уговор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концесији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коришћење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пољопривредног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земљишта</w:t>
      </w:r>
      <w:r w:rsidR="004438E9" w:rsidRPr="00F43FB9">
        <w:rPr>
          <w:rFonts w:asciiTheme="minorHAnsi" w:hAnsiTheme="minorHAnsi"/>
          <w:sz w:val="22"/>
          <w:szCs w:val="22"/>
          <w:lang w:val="sr-Cyrl-BA"/>
        </w:rPr>
        <w:t>.</w:t>
      </w:r>
    </w:p>
    <w:p w:rsidR="001E0A89" w:rsidRPr="00F43FB9" w:rsidRDefault="001E0A89" w:rsidP="00F43FB9">
      <w:pPr>
        <w:rPr>
          <w:rFonts w:asciiTheme="minorHAnsi" w:hAnsiTheme="minorHAnsi"/>
          <w:sz w:val="22"/>
          <w:szCs w:val="22"/>
          <w:lang w:val="sr-Cyrl-BA"/>
        </w:rPr>
      </w:pPr>
    </w:p>
    <w:p w:rsidR="004438E9" w:rsidRPr="00C140BA" w:rsidRDefault="004438E9" w:rsidP="009E6D98">
      <w:pPr>
        <w:pStyle w:val="Heading3"/>
      </w:pPr>
      <w:bookmarkStart w:id="68" w:name="_Toc418075637"/>
      <w:bookmarkStart w:id="69" w:name="_Toc449404343"/>
      <w:r w:rsidRPr="00C140BA">
        <w:t xml:space="preserve">3.7.4. </w:t>
      </w:r>
      <w:r w:rsidR="00DD65E6">
        <w:t>Закључци</w:t>
      </w:r>
      <w:bookmarkEnd w:id="68"/>
      <w:bookmarkEnd w:id="69"/>
    </w:p>
    <w:p w:rsidR="004438E9" w:rsidRPr="00DF3A38" w:rsidRDefault="00DD65E6" w:rsidP="00B21446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извјештајном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периоду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даље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присутан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проблем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неажурности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података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јавним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евиденцијама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Cyrl-BA"/>
        </w:rPr>
        <w:t>земљишним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књигама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катастру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непокретности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), </w:t>
      </w:r>
      <w:r>
        <w:rPr>
          <w:rFonts w:asciiTheme="minorHAnsi" w:hAnsiTheme="minorHAnsi"/>
          <w:sz w:val="22"/>
          <w:szCs w:val="22"/>
          <w:lang w:val="sr-Cyrl-BA"/>
        </w:rPr>
        <w:t>што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отежава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Влади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правилно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законито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располаже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истим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путем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додјеле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чиме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проузроковани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судски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спорови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којим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наноси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штета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</w:rPr>
        <w:t>б</w:t>
      </w:r>
      <w:r>
        <w:rPr>
          <w:rFonts w:asciiTheme="minorHAnsi" w:hAnsiTheme="minorHAnsi"/>
          <w:sz w:val="22"/>
          <w:szCs w:val="22"/>
          <w:lang w:val="sr-Cyrl-BA"/>
        </w:rPr>
        <w:t>уџету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. </w:t>
      </w:r>
    </w:p>
    <w:p w:rsidR="004438E9" w:rsidRPr="00DF3A38" w:rsidRDefault="00DD65E6" w:rsidP="00B21446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Уговорне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стране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морају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водити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рачуна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предмет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буде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подобан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     </w:t>
      </w:r>
      <w:r>
        <w:rPr>
          <w:rFonts w:asciiTheme="minorHAnsi" w:hAnsiTheme="minorHAnsi"/>
          <w:sz w:val="22"/>
          <w:szCs w:val="22"/>
          <w:lang w:val="sr-Cyrl-BA"/>
        </w:rPr>
        <w:t>коришћење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односно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истом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постоје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неријешени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имовинско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>-</w:t>
      </w:r>
      <w:r>
        <w:rPr>
          <w:rFonts w:asciiTheme="minorHAnsi" w:hAnsiTheme="minorHAnsi"/>
          <w:sz w:val="22"/>
          <w:szCs w:val="22"/>
          <w:lang w:val="sr-Cyrl-BA"/>
        </w:rPr>
        <w:t>правни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исто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погодно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пољопривредну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производњу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јер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нису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могућности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ове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ријеше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сами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>.</w:t>
      </w:r>
    </w:p>
    <w:p w:rsidR="004438E9" w:rsidRPr="00DF3A38" w:rsidRDefault="00DD65E6" w:rsidP="00B21446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Око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наведених</w:t>
      </w:r>
      <w:r w:rsidR="009E6D9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активности</w:t>
      </w:r>
      <w:r w:rsidR="009E6D9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9E6D9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тачкама</w:t>
      </w:r>
      <w:r w:rsidR="009E6D98">
        <w:rPr>
          <w:rFonts w:asciiTheme="minorHAnsi" w:hAnsiTheme="minorHAnsi"/>
          <w:sz w:val="22"/>
          <w:szCs w:val="22"/>
          <w:lang w:val="sr-Cyrl-BA"/>
        </w:rPr>
        <w:t xml:space="preserve"> 1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9E6D98">
        <w:rPr>
          <w:rFonts w:asciiTheme="minorHAnsi" w:hAnsiTheme="minorHAnsi"/>
          <w:sz w:val="22"/>
          <w:szCs w:val="22"/>
          <w:lang w:val="sr-Cyrl-BA"/>
        </w:rPr>
        <w:t xml:space="preserve"> 2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Министарство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шумарства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водопривреде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требало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активније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сарађивати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Републичком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управом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геодетске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имовинско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>-</w:t>
      </w:r>
      <w:r>
        <w:rPr>
          <w:rFonts w:asciiTheme="minorHAnsi" w:hAnsiTheme="minorHAnsi"/>
          <w:sz w:val="22"/>
          <w:szCs w:val="22"/>
          <w:lang w:val="sr-Cyrl-BA"/>
        </w:rPr>
        <w:t>правне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послове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као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Републичким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јавним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правобранилаштвом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све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циљу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успоставе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јединствене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евиденције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непокретностима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убрзаном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рјешавању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имовинско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>-</w:t>
      </w:r>
      <w:r>
        <w:rPr>
          <w:rFonts w:asciiTheme="minorHAnsi" w:hAnsiTheme="minorHAnsi"/>
          <w:sz w:val="22"/>
          <w:szCs w:val="22"/>
          <w:lang w:val="sr-Cyrl-BA"/>
        </w:rPr>
        <w:t>правних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спорова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. </w:t>
      </w:r>
    </w:p>
    <w:p w:rsidR="004438E9" w:rsidRPr="00DF3A38" w:rsidRDefault="00DD65E6" w:rsidP="00B21446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мишљења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пољопривредном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убудуће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могу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додјељивати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само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непокретностима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подаци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јавним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евиденцијама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ажурни</w:t>
      </w:r>
      <w:r w:rsidR="00BD506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BD506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поуздани</w:t>
      </w:r>
      <w:r w:rsidR="00BD506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BD506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имовинско</w:t>
      </w:r>
      <w:r w:rsidR="00BD5067">
        <w:rPr>
          <w:rFonts w:asciiTheme="minorHAnsi" w:hAnsiTheme="minorHAnsi"/>
          <w:sz w:val="22"/>
          <w:szCs w:val="22"/>
          <w:lang w:val="sr-Cyrl-BA"/>
        </w:rPr>
        <w:t>-</w:t>
      </w:r>
      <w:r>
        <w:rPr>
          <w:rFonts w:asciiTheme="minorHAnsi" w:hAnsiTheme="minorHAnsi"/>
          <w:sz w:val="22"/>
          <w:szCs w:val="22"/>
          <w:lang w:val="sr-Cyrl-BA"/>
        </w:rPr>
        <w:t>правни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ријешени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>.</w:t>
      </w:r>
    </w:p>
    <w:p w:rsidR="004438E9" w:rsidRPr="00DF3A38" w:rsidRDefault="00DD65E6" w:rsidP="00B21446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Приликом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провјере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овлаштени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представници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констатовали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извјестан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број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поштује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уговорене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обавезе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одржавање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концесионог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добра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BD5067">
        <w:rPr>
          <w:rFonts w:asciiTheme="minorHAnsi" w:hAnsiTheme="minorHAnsi"/>
          <w:sz w:val="22"/>
          <w:szCs w:val="22"/>
          <w:lang w:val="sr-Cyrl-BA"/>
        </w:rPr>
        <w:t>–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пољопривредног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датог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Концесионари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одржавају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одводне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доводне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канале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не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спроводе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мјере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дренаже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пољопривредног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чиме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знатно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умањиле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посљедице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поплава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подземних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знатно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повећали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приноси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>.</w:t>
      </w:r>
    </w:p>
    <w:p w:rsidR="004438E9" w:rsidRDefault="00DD65E6" w:rsidP="00B21446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Концесиона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накнада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коришћења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пољопривредног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201</w:t>
      </w:r>
      <w:r w:rsidR="004438E9">
        <w:rPr>
          <w:rFonts w:asciiTheme="minorHAnsi" w:hAnsiTheme="minorHAnsi"/>
          <w:sz w:val="22"/>
          <w:szCs w:val="22"/>
          <w:lang w:val="sr-Cyrl-BA"/>
        </w:rPr>
        <w:t>5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годину</w:t>
      </w:r>
      <w:r w:rsidR="004438E9" w:rsidRPr="00DF3A3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износи</w:t>
      </w:r>
      <w:r w:rsidR="004438E9" w:rsidRPr="00703718">
        <w:rPr>
          <w:rFonts w:asciiTheme="minorHAnsi" w:hAnsiTheme="minorHAnsi"/>
          <w:sz w:val="22"/>
          <w:szCs w:val="22"/>
          <w:lang w:val="sr-Cyrl-BA"/>
        </w:rPr>
        <w:t xml:space="preserve"> 563.340,24</w:t>
      </w:r>
      <w:r w:rsidR="00BD506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КМ</w:t>
      </w:r>
      <w:r w:rsidR="004438E9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438E9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мања</w:t>
      </w:r>
      <w:r w:rsidR="004438E9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4438E9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4438E9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односу</w:t>
      </w:r>
      <w:r w:rsidR="004438E9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4438E9" w:rsidRPr="00703718">
        <w:rPr>
          <w:rFonts w:asciiTheme="minorHAnsi" w:hAnsiTheme="minorHAnsi"/>
          <w:sz w:val="22"/>
          <w:szCs w:val="22"/>
          <w:lang w:val="sr-Cyrl-BA"/>
        </w:rPr>
        <w:t xml:space="preserve"> 2014. </w:t>
      </w:r>
      <w:r>
        <w:rPr>
          <w:rFonts w:asciiTheme="minorHAnsi" w:hAnsiTheme="minorHAnsi"/>
          <w:sz w:val="22"/>
          <w:szCs w:val="22"/>
          <w:lang w:val="sr-Cyrl-BA"/>
        </w:rPr>
        <w:t>годину</w:t>
      </w:r>
      <w:r w:rsidR="004438E9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4438E9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4438E9" w:rsidRPr="00703718">
        <w:rPr>
          <w:rFonts w:asciiTheme="minorHAnsi" w:hAnsiTheme="minorHAnsi"/>
          <w:sz w:val="22"/>
          <w:szCs w:val="22"/>
          <w:lang w:val="sr-Cyrl-CS"/>
        </w:rPr>
        <w:t xml:space="preserve">377.142,63 </w:t>
      </w:r>
      <w:r>
        <w:rPr>
          <w:rFonts w:asciiTheme="minorHAnsi" w:hAnsiTheme="minorHAnsi"/>
          <w:sz w:val="22"/>
          <w:szCs w:val="22"/>
          <w:lang w:val="sr-Cyrl-CS"/>
        </w:rPr>
        <w:t>КМ</w:t>
      </w:r>
      <w:r w:rsidR="004438E9" w:rsidRPr="00703718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што</w:t>
      </w:r>
      <w:r w:rsidR="004438E9" w:rsidRPr="00703718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посљедица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екстремних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суша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гдје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евидентиране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штете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70 %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усјевима</w:t>
      </w:r>
      <w:r w:rsidR="004438E9">
        <w:rPr>
          <w:rFonts w:asciiTheme="minorHAnsi" w:hAnsiTheme="minorHAnsi"/>
          <w:sz w:val="22"/>
          <w:szCs w:val="22"/>
          <w:lang w:val="sr-Cyrl-BA"/>
        </w:rPr>
        <w:t>.</w:t>
      </w:r>
      <w:r w:rsidR="00BD506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Такође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дио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концесионара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плаћа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концесиону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накнаду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оствареном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годишњем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приходу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дио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јединици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мјере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односно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</w:t>
      </w:r>
      <w:r w:rsidR="004438E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хектару</w:t>
      </w:r>
      <w:r w:rsidR="004438E9">
        <w:rPr>
          <w:rFonts w:asciiTheme="minorHAnsi" w:hAnsiTheme="minorHAnsi"/>
          <w:sz w:val="22"/>
          <w:szCs w:val="22"/>
          <w:lang w:val="sr-Cyrl-BA"/>
        </w:rPr>
        <w:t>.</w:t>
      </w:r>
    </w:p>
    <w:p w:rsidR="00BD5067" w:rsidRDefault="00BD5067" w:rsidP="00BD5067">
      <w:p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34210D" w:rsidRDefault="0034210D" w:rsidP="00BD5067">
      <w:pPr>
        <w:pStyle w:val="Heading1"/>
        <w:rPr>
          <w:lang w:val="sr-Cyrl-BA"/>
        </w:rPr>
      </w:pPr>
      <w:bookmarkStart w:id="70" w:name="_Toc418075638"/>
      <w:bookmarkStart w:id="71" w:name="_Toc449404344"/>
      <w:r w:rsidRPr="00703718">
        <w:t xml:space="preserve">4. </w:t>
      </w:r>
      <w:r w:rsidR="00DD65E6">
        <w:t>КОНЦЕСИОНА</w:t>
      </w:r>
      <w:r w:rsidRPr="00703718">
        <w:t xml:space="preserve"> </w:t>
      </w:r>
      <w:r w:rsidR="00DD65E6">
        <w:t>НАКНАДА</w:t>
      </w:r>
      <w:bookmarkEnd w:id="70"/>
      <w:bookmarkEnd w:id="71"/>
    </w:p>
    <w:p w:rsidR="00C34E0E" w:rsidRPr="008A6135" w:rsidRDefault="00DD65E6" w:rsidP="00C34E0E">
      <w:pPr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У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складу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чланом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62., </w:t>
      </w:r>
      <w:r>
        <w:rPr>
          <w:rFonts w:asciiTheme="minorHAnsi" w:hAnsiTheme="minorHAnsi"/>
          <w:sz w:val="22"/>
          <w:szCs w:val="22"/>
          <w:lang w:val="sr-Cyrl-BA"/>
        </w:rPr>
        <w:t>тачка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4. </w:t>
      </w:r>
      <w:r>
        <w:rPr>
          <w:rFonts w:asciiTheme="minorHAnsi" w:hAnsiTheme="minorHAnsi"/>
          <w:sz w:val="22"/>
          <w:szCs w:val="22"/>
          <w:lang w:val="sr-Cyrl-BA"/>
        </w:rPr>
        <w:t>Закона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концесијама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контролу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обрачуна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плаћања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концесионе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накнаде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утврђене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уговором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концесији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врши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Пореска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управа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складу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одредбама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закона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којима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уређује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порески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поступак</w:t>
      </w:r>
      <w:r w:rsidR="00C34E0E" w:rsidRPr="008A6135">
        <w:rPr>
          <w:rFonts w:asciiTheme="minorHAnsi" w:hAnsiTheme="minorHAnsi"/>
          <w:sz w:val="22"/>
          <w:szCs w:val="22"/>
          <w:lang w:val="sr-Cyrl-BA"/>
        </w:rPr>
        <w:t>.</w:t>
      </w:r>
    </w:p>
    <w:p w:rsidR="0034210D" w:rsidRPr="007F3DE0" w:rsidRDefault="00DD65E6" w:rsidP="00150094">
      <w:pPr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основу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обједињених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систематизованих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података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Пореске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Управе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Министарства</w:t>
      </w:r>
      <w:r w:rsidR="0034210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финансија</w:t>
      </w:r>
      <w:r w:rsidR="00991C1C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Републике</w:t>
      </w:r>
      <w:r w:rsidR="00991C1C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Српске</w:t>
      </w:r>
      <w:r w:rsidR="0034210D" w:rsidRPr="0036644D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>-</w:t>
      </w:r>
      <w:r>
        <w:rPr>
          <w:rFonts w:asciiTheme="minorHAnsi" w:hAnsiTheme="minorHAnsi"/>
          <w:sz w:val="22"/>
          <w:szCs w:val="22"/>
          <w:lang w:val="sr-Cyrl-CS"/>
        </w:rPr>
        <w:t>Ресор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фискални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систем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добијених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захтјев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Комисије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6644D" w:rsidRPr="0036644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991C1C">
        <w:rPr>
          <w:rFonts w:asciiTheme="minorHAnsi" w:hAnsiTheme="minorHAnsi"/>
          <w:sz w:val="22"/>
          <w:szCs w:val="22"/>
          <w:lang w:val="sr-Cyrl-CS"/>
        </w:rPr>
        <w:t>,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току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6E4F17" w:rsidRPr="007F3DE0">
        <w:rPr>
          <w:rFonts w:asciiTheme="minorHAnsi" w:hAnsiTheme="minorHAnsi"/>
          <w:sz w:val="22"/>
          <w:szCs w:val="22"/>
          <w:lang w:val="sr-Cyrl-CS"/>
        </w:rPr>
        <w:t>2015.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године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уплаћено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укупно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7D036B" w:rsidRPr="00FD6A7D">
        <w:rPr>
          <w:rFonts w:asciiTheme="minorHAnsi" w:hAnsiTheme="minorHAnsi"/>
          <w:sz w:val="22"/>
          <w:szCs w:val="22"/>
          <w:lang w:val="sr-Cyrl-BA"/>
        </w:rPr>
        <w:t>29.289.907,29</w:t>
      </w:r>
      <w:r w:rsidR="00BD506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КМ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име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једнократне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право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коришћење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природних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ресурса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или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пружање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услуга</w:t>
      </w:r>
      <w:r w:rsidR="0034210D" w:rsidRPr="007F3DE0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>(</w:t>
      </w:r>
      <w:r>
        <w:rPr>
          <w:rFonts w:asciiTheme="minorHAnsi" w:hAnsiTheme="minorHAnsi"/>
          <w:sz w:val="22"/>
          <w:szCs w:val="22"/>
          <w:lang w:val="sr-Cyrl-CS"/>
        </w:rPr>
        <w:t>шифра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врсте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прихода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: </w:t>
      </w:r>
      <w:r>
        <w:rPr>
          <w:rFonts w:asciiTheme="minorHAnsi" w:hAnsiTheme="minorHAnsi"/>
          <w:sz w:val="22"/>
          <w:szCs w:val="22"/>
          <w:lang w:val="sr-Cyrl-CS"/>
        </w:rPr>
        <w:t>ВП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721112, </w:t>
      </w:r>
      <w:r>
        <w:rPr>
          <w:rFonts w:asciiTheme="minorHAnsi" w:hAnsiTheme="minorHAnsi"/>
          <w:sz w:val="22"/>
          <w:szCs w:val="22"/>
          <w:lang w:val="sr-Cyrl-CS"/>
        </w:rPr>
        <w:t>ВП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722424, </w:t>
      </w:r>
      <w:r>
        <w:rPr>
          <w:rFonts w:asciiTheme="minorHAnsi" w:hAnsiTheme="minorHAnsi"/>
          <w:sz w:val="22"/>
          <w:szCs w:val="22"/>
          <w:lang w:val="sr-Cyrl-CS"/>
        </w:rPr>
        <w:t>ВП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722445, </w:t>
      </w:r>
      <w:r>
        <w:rPr>
          <w:rFonts w:asciiTheme="minorHAnsi" w:hAnsiTheme="minorHAnsi"/>
          <w:sz w:val="22"/>
          <w:szCs w:val="22"/>
          <w:lang w:val="sr-Cyrl-CS"/>
        </w:rPr>
        <w:t>ВП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722468, </w:t>
      </w:r>
      <w:r>
        <w:rPr>
          <w:rFonts w:asciiTheme="minorHAnsi" w:hAnsiTheme="minorHAnsi"/>
          <w:sz w:val="22"/>
          <w:szCs w:val="22"/>
          <w:lang w:val="sr-Cyrl-CS"/>
        </w:rPr>
        <w:t>ВП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722491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ВП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722448). </w:t>
      </w:r>
    </w:p>
    <w:p w:rsidR="0034210D" w:rsidRPr="002419AA" w:rsidRDefault="00DD65E6" w:rsidP="00150094">
      <w:pPr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lastRenderedPageBreak/>
        <w:t>У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склопу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активност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стварања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базе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податак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,  </w:t>
      </w:r>
      <w:r>
        <w:rPr>
          <w:rFonts w:asciiTheme="minorHAnsi" w:hAnsiTheme="minorHAnsi"/>
          <w:sz w:val="22"/>
          <w:szCs w:val="22"/>
          <w:lang w:val="sr-Cyrl-CS"/>
        </w:rPr>
        <w:t>Комисије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Новом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сазиву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директним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контактом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Пореском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Управом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Министарством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финансија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Републике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Српске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дошла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слиједећих</w:t>
      </w:r>
      <w:r w:rsidR="008A613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података</w:t>
      </w:r>
      <w:r w:rsidR="0034210D" w:rsidRPr="002419AA">
        <w:rPr>
          <w:rFonts w:asciiTheme="minorHAnsi" w:hAnsiTheme="minorHAnsi"/>
          <w:sz w:val="22"/>
          <w:szCs w:val="22"/>
          <w:lang w:val="sr-Cyrl-C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98"/>
      </w:tblGrid>
      <w:tr w:rsidR="00DF3A38" w:rsidRPr="007F3DE0" w:rsidTr="00DF3A38">
        <w:tc>
          <w:tcPr>
            <w:tcW w:w="6345" w:type="dxa"/>
          </w:tcPr>
          <w:p w:rsidR="00DF3A38" w:rsidRPr="007F3DE0" w:rsidRDefault="00DD65E6" w:rsidP="00B21446">
            <w:pPr>
              <w:pStyle w:val="NoSpacing"/>
              <w:numPr>
                <w:ilvl w:val="0"/>
                <w:numId w:val="5"/>
              </w:numPr>
              <w:ind w:left="142" w:hanging="142"/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Област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минералних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ресурса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:  </w:t>
            </w:r>
          </w:p>
        </w:tc>
        <w:tc>
          <w:tcPr>
            <w:tcW w:w="2898" w:type="dxa"/>
          </w:tcPr>
          <w:p w:rsidR="00DF3A38" w:rsidRPr="007F3DE0" w:rsidRDefault="004E07AD" w:rsidP="009419B3">
            <w:pPr>
              <w:pStyle w:val="NoSpacing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</w:pPr>
            <w:r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  <w:t>28.134.393,48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DD65E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КМ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4E07AD" w:rsidRPr="007F3DE0" w:rsidTr="00DF3A38">
        <w:tc>
          <w:tcPr>
            <w:tcW w:w="6345" w:type="dxa"/>
          </w:tcPr>
          <w:p w:rsidR="00DF3A38" w:rsidRPr="007F3DE0" w:rsidRDefault="00DD65E6" w:rsidP="00B21446">
            <w:pPr>
              <w:pStyle w:val="NoSpacing"/>
              <w:numPr>
                <w:ilvl w:val="0"/>
                <w:numId w:val="5"/>
              </w:numPr>
              <w:ind w:left="142" w:hanging="142"/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Област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пољопривреде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:                                 </w:t>
            </w:r>
          </w:p>
        </w:tc>
        <w:tc>
          <w:tcPr>
            <w:tcW w:w="2898" w:type="dxa"/>
          </w:tcPr>
          <w:p w:rsidR="00DF3A38" w:rsidRPr="007F3DE0" w:rsidRDefault="004E07AD" w:rsidP="009419B3">
            <w:pPr>
              <w:pStyle w:val="NoSpacing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</w:pPr>
            <w:r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  <w:t>563.340,24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DD65E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КМ</w:t>
            </w:r>
          </w:p>
        </w:tc>
      </w:tr>
      <w:tr w:rsidR="00DF3A38" w:rsidRPr="007F3DE0" w:rsidTr="00DF3A38">
        <w:tc>
          <w:tcPr>
            <w:tcW w:w="6345" w:type="dxa"/>
          </w:tcPr>
          <w:p w:rsidR="00DF3A38" w:rsidRPr="007F3DE0" w:rsidRDefault="00DD65E6" w:rsidP="00B21446">
            <w:pPr>
              <w:pStyle w:val="NoSpacing"/>
              <w:numPr>
                <w:ilvl w:val="0"/>
                <w:numId w:val="5"/>
              </w:numPr>
              <w:ind w:left="142" w:hanging="142"/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Област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изградње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и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кориштења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малих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хидроелектрана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898" w:type="dxa"/>
          </w:tcPr>
          <w:p w:rsidR="00DF3A38" w:rsidRPr="007F3DE0" w:rsidRDefault="004E07AD" w:rsidP="009419B3">
            <w:pPr>
              <w:pStyle w:val="NoSpacing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</w:pPr>
            <w:r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  <w:t>321.133,69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DD65E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КМ</w:t>
            </w:r>
          </w:p>
        </w:tc>
      </w:tr>
      <w:tr w:rsidR="00DF3A38" w:rsidRPr="007F3DE0" w:rsidTr="00DF3A38">
        <w:tc>
          <w:tcPr>
            <w:tcW w:w="6345" w:type="dxa"/>
          </w:tcPr>
          <w:p w:rsidR="00DF3A38" w:rsidRPr="007F3DE0" w:rsidRDefault="00DD65E6" w:rsidP="00B21446">
            <w:pPr>
              <w:pStyle w:val="NoSpacing"/>
              <w:numPr>
                <w:ilvl w:val="0"/>
                <w:numId w:val="5"/>
              </w:numPr>
              <w:ind w:left="142" w:hanging="142"/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Област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приређивање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игара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на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срећу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:                 </w:t>
            </w:r>
          </w:p>
        </w:tc>
        <w:tc>
          <w:tcPr>
            <w:tcW w:w="2898" w:type="dxa"/>
          </w:tcPr>
          <w:p w:rsidR="00DF3A38" w:rsidRPr="007F3DE0" w:rsidRDefault="004E07AD" w:rsidP="009419B3">
            <w:pPr>
              <w:pStyle w:val="NoSpacing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</w:pPr>
            <w:r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  <w:t xml:space="preserve">151.969,38 </w:t>
            </w:r>
            <w:r w:rsidR="00DD65E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КМ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DF3A38" w:rsidRPr="007F3DE0" w:rsidTr="00DF3A38">
        <w:tc>
          <w:tcPr>
            <w:tcW w:w="6345" w:type="dxa"/>
          </w:tcPr>
          <w:p w:rsidR="00DF3A38" w:rsidRPr="007F3DE0" w:rsidRDefault="00DD65E6" w:rsidP="00B21446">
            <w:pPr>
              <w:pStyle w:val="NoSpacing"/>
              <w:numPr>
                <w:ilvl w:val="0"/>
                <w:numId w:val="5"/>
              </w:numPr>
              <w:ind w:left="142" w:hanging="142"/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Област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спортск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  <w:t>о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  <w:t>-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риболовних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друштава</w:t>
            </w:r>
            <w:r w:rsidR="00DF3A38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:             </w:t>
            </w:r>
          </w:p>
        </w:tc>
        <w:tc>
          <w:tcPr>
            <w:tcW w:w="2898" w:type="dxa"/>
          </w:tcPr>
          <w:p w:rsidR="00DF3A38" w:rsidRDefault="004E07AD" w:rsidP="009419B3">
            <w:pPr>
              <w:pStyle w:val="NoSpacing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  <w:t>119.070,50</w:t>
            </w:r>
            <w:r w:rsidR="007B3201" w:rsidRPr="007F3D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DD65E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КМ</w:t>
            </w:r>
          </w:p>
          <w:p w:rsidR="00E26DDF" w:rsidRDefault="00E26DDF" w:rsidP="00E26DDF">
            <w:pPr>
              <w:pStyle w:val="NoSpacing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  <w:p w:rsidR="00E26DDF" w:rsidRDefault="00E26DDF" w:rsidP="00E26DDF">
            <w:pPr>
              <w:pStyle w:val="NoSpacing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  <w:p w:rsidR="00E26DDF" w:rsidRPr="00B13BA2" w:rsidRDefault="00E26DDF" w:rsidP="00E26DDF">
            <w:pPr>
              <w:pStyle w:val="NoSpacing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  <w:p w:rsidR="00E26DDF" w:rsidRPr="00E26DDF" w:rsidRDefault="00E26DDF" w:rsidP="00E26DDF">
            <w:pPr>
              <w:pStyle w:val="NoSpacing"/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</w:pPr>
            <w:r w:rsidRPr="00E26DDF">
              <w:rPr>
                <w:rStyle w:val="Strong"/>
                <w:rFonts w:asciiTheme="minorHAnsi" w:hAnsiTheme="minorHAnsi"/>
                <w:i/>
                <w:sz w:val="22"/>
                <w:szCs w:val="22"/>
                <w:u w:val="single"/>
                <w:lang w:val="sr-Cyrl-BA"/>
              </w:rPr>
              <w:t>Графикон 7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sr-Cyrl-BA"/>
              </w:rPr>
              <w:t>.</w:t>
            </w:r>
          </w:p>
        </w:tc>
      </w:tr>
    </w:tbl>
    <w:p w:rsidR="00E26DDF" w:rsidRDefault="00E26DDF" w:rsidP="00E26DDF">
      <w:pPr>
        <w:pStyle w:val="NoSpacing"/>
        <w:spacing w:after="120"/>
        <w:jc w:val="both"/>
        <w:rPr>
          <w:rFonts w:asciiTheme="minorHAnsi" w:hAnsiTheme="minorHAnsi"/>
          <w:i/>
          <w:sz w:val="22"/>
          <w:szCs w:val="22"/>
          <w:lang w:val="sr-Cyrl-BA"/>
        </w:rPr>
      </w:pPr>
      <w:r>
        <w:rPr>
          <w:noProof/>
        </w:rPr>
        <w:drawing>
          <wp:inline distT="0" distB="0" distL="0" distR="0" wp14:anchorId="60BE96D3" wp14:editId="0AAD06AE">
            <wp:extent cx="5779008" cy="2018995"/>
            <wp:effectExtent l="0" t="0" r="12700" b="1968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42A46" w:rsidRPr="00D5008F" w:rsidRDefault="00D42A46" w:rsidP="00150094">
      <w:pPr>
        <w:pStyle w:val="NoSpacing"/>
        <w:spacing w:after="120"/>
        <w:jc w:val="both"/>
        <w:rPr>
          <w:rFonts w:asciiTheme="minorHAnsi" w:hAnsiTheme="minorHAnsi"/>
          <w:i/>
          <w:sz w:val="22"/>
          <w:szCs w:val="22"/>
          <w:lang w:val="sr-Cyrl-BA"/>
        </w:rPr>
      </w:pPr>
    </w:p>
    <w:p w:rsidR="00D413AD" w:rsidRPr="007F3DE0" w:rsidRDefault="00DD65E6" w:rsidP="00150094">
      <w:pPr>
        <w:pStyle w:val="NoSpacing"/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Уплата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концесионих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накнада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2015.</w:t>
      </w:r>
      <w:r w:rsidR="00BD506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години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према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подацима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добијеним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Министарства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финансија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РС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већа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7.096.526,33 </w:t>
      </w:r>
      <w:r>
        <w:rPr>
          <w:rFonts w:asciiTheme="minorHAnsi" w:hAnsiTheme="minorHAnsi"/>
          <w:sz w:val="22"/>
          <w:szCs w:val="22"/>
          <w:lang w:val="sr-Cyrl-BA"/>
        </w:rPr>
        <w:t>КМ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односу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 xml:space="preserve"> 2014.</w:t>
      </w:r>
      <w:r w:rsidR="00BD506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годину</w:t>
      </w:r>
      <w:r w:rsidR="00D413AD" w:rsidRPr="007F3DE0">
        <w:rPr>
          <w:rFonts w:asciiTheme="minorHAnsi" w:hAnsiTheme="minorHAnsi"/>
          <w:sz w:val="22"/>
          <w:szCs w:val="22"/>
          <w:lang w:val="sr-Cyrl-BA"/>
        </w:rPr>
        <w:t>.</w:t>
      </w:r>
    </w:p>
    <w:p w:rsidR="0034210D" w:rsidRDefault="00DD65E6" w:rsidP="00150094">
      <w:pPr>
        <w:pStyle w:val="NoSpacing"/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BA"/>
        </w:rPr>
        <w:t>Видљиво</w:t>
      </w:r>
      <w:r w:rsidR="0034210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34210D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највеће</w:t>
      </w:r>
      <w:r w:rsidR="00D3213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повећање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уплате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минералних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ресурса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Разлози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повећања</w:t>
      </w:r>
      <w:r w:rsidR="0099277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уплаћених</w:t>
      </w:r>
      <w:r w:rsidR="0099277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концесионих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99277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ти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што</w:t>
      </w:r>
      <w:r w:rsidR="0099277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201</w:t>
      </w:r>
      <w:r w:rsidR="00D3213D" w:rsidRPr="007F3DE0">
        <w:rPr>
          <w:rFonts w:asciiTheme="minorHAnsi" w:hAnsiTheme="minorHAnsi"/>
          <w:sz w:val="22"/>
          <w:szCs w:val="22"/>
          <w:lang w:val="sr-Cyrl-CS"/>
        </w:rPr>
        <w:t>5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години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био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закључен</w:t>
      </w:r>
      <w:r w:rsidR="00D3213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већи</w:t>
      </w:r>
      <w:r w:rsidR="00D3213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број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додјели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разлику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201</w:t>
      </w:r>
      <w:r w:rsidR="00D3213D" w:rsidRPr="007F3DE0">
        <w:rPr>
          <w:rFonts w:asciiTheme="minorHAnsi" w:hAnsiTheme="minorHAnsi"/>
          <w:sz w:val="22"/>
          <w:szCs w:val="22"/>
          <w:lang w:val="sr-Cyrl-CS"/>
        </w:rPr>
        <w:t>4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>.</w:t>
      </w:r>
      <w:r w:rsidR="0034210D" w:rsidRPr="007F3DE0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године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па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повећање</w:t>
      </w:r>
      <w:r w:rsidR="00BD506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уплаћене</w:t>
      </w:r>
      <w:r w:rsidR="00BD506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концесионе</w:t>
      </w:r>
      <w:r w:rsidR="00BD506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произашло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уплата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већег</w:t>
      </w:r>
      <w:r w:rsidR="00D3213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броја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износа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једнократних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концесионих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које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уплаћују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приликом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закључења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концесији</w:t>
      </w:r>
      <w:r w:rsidR="00617FA4">
        <w:rPr>
          <w:rFonts w:asciiTheme="minorHAnsi" w:hAnsiTheme="minorHAnsi"/>
          <w:sz w:val="22"/>
          <w:szCs w:val="22"/>
          <w:lang w:val="sr-Cyrl-CS"/>
        </w:rPr>
        <w:t>.Укупан број уговора закључених из ове области у 2015.години износи 11 (једанаест).</w:t>
      </w:r>
    </w:p>
    <w:p w:rsidR="003632D8" w:rsidRPr="003632D8" w:rsidRDefault="003632D8" w:rsidP="003632D8">
      <w:pPr>
        <w:pStyle w:val="NoSpacing"/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  <w:r w:rsidRPr="003632D8">
        <w:rPr>
          <w:rFonts w:asciiTheme="minorHAnsi" w:hAnsiTheme="minorHAnsi"/>
          <w:sz w:val="22"/>
          <w:szCs w:val="22"/>
          <w:lang w:val="sr-Cyrl-CS"/>
        </w:rPr>
        <w:t>У Графикону 9. Приказан је однос наплате концесионе накнаде из минерелно сировинског комплекса у последње три године.</w:t>
      </w:r>
    </w:p>
    <w:p w:rsidR="003632D8" w:rsidRPr="003632D8" w:rsidRDefault="003632D8" w:rsidP="003632D8">
      <w:pPr>
        <w:pStyle w:val="NoSpacing"/>
        <w:spacing w:after="120"/>
        <w:jc w:val="both"/>
        <w:rPr>
          <w:rFonts w:asciiTheme="minorHAnsi" w:hAnsiTheme="minorHAnsi"/>
          <w:b/>
          <w:i/>
          <w:sz w:val="22"/>
          <w:szCs w:val="22"/>
          <w:u w:val="single"/>
          <w:lang w:val="sr-Cyrl-CS"/>
        </w:rPr>
      </w:pPr>
      <w:r w:rsidRPr="003632D8">
        <w:rPr>
          <w:rFonts w:asciiTheme="minorHAnsi" w:hAnsiTheme="minorHAnsi"/>
          <w:b/>
          <w:i/>
          <w:sz w:val="22"/>
          <w:szCs w:val="22"/>
          <w:u w:val="single"/>
          <w:lang w:val="sr-Cyrl-CS"/>
        </w:rPr>
        <w:t xml:space="preserve">Графикон </w:t>
      </w:r>
      <w:r>
        <w:rPr>
          <w:rFonts w:asciiTheme="minorHAnsi" w:hAnsiTheme="minorHAnsi"/>
          <w:b/>
          <w:i/>
          <w:sz w:val="22"/>
          <w:szCs w:val="22"/>
          <w:u w:val="single"/>
          <w:lang w:val="sr-Cyrl-CS"/>
        </w:rPr>
        <w:t>8.</w:t>
      </w:r>
    </w:p>
    <w:p w:rsidR="003632D8" w:rsidRPr="007F3DE0" w:rsidRDefault="003632D8" w:rsidP="00150094">
      <w:pPr>
        <w:pStyle w:val="NoSpacing"/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CBDAD1B">
            <wp:extent cx="5669915" cy="2121535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10D" w:rsidRPr="00A17B73" w:rsidRDefault="00DD65E6" w:rsidP="00150094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 w:rsidRPr="00A17B73">
        <w:rPr>
          <w:rFonts w:asciiTheme="minorHAnsi" w:hAnsiTheme="minorHAnsi"/>
          <w:sz w:val="22"/>
          <w:szCs w:val="22"/>
          <w:lang w:val="sr-Cyrl-CS"/>
        </w:rPr>
        <w:lastRenderedPageBreak/>
        <w:t>У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области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коришћења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пољопривредног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земљишта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висина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уплате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концесионе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накнаде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буџет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Републике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Српске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на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нивоу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мањем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од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 </w:t>
      </w:r>
      <w:r w:rsidRPr="00A17B73">
        <w:rPr>
          <w:rFonts w:asciiTheme="minorHAnsi" w:hAnsiTheme="minorHAnsi"/>
          <w:sz w:val="22"/>
          <w:szCs w:val="22"/>
          <w:lang w:val="sr-Cyrl-CS"/>
        </w:rPr>
        <w:t>претходне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године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износ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CS"/>
        </w:rPr>
        <w:t>од</w:t>
      </w:r>
      <w:r w:rsidR="0034210D" w:rsidRPr="00A17B7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3213D" w:rsidRPr="00A17B73">
        <w:rPr>
          <w:rFonts w:asciiTheme="minorHAnsi" w:hAnsiTheme="minorHAnsi"/>
          <w:sz w:val="22"/>
          <w:szCs w:val="22"/>
          <w:lang w:val="sr-Cyrl-CS"/>
        </w:rPr>
        <w:t xml:space="preserve">377.142,63 </w:t>
      </w:r>
      <w:r w:rsidRPr="00A17B73">
        <w:rPr>
          <w:rFonts w:asciiTheme="minorHAnsi" w:hAnsiTheme="minorHAnsi"/>
          <w:sz w:val="22"/>
          <w:szCs w:val="22"/>
          <w:lang w:val="sr-Cyrl-CS"/>
        </w:rPr>
        <w:t>КМ</w:t>
      </w:r>
      <w:r w:rsidR="0034210D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B81EF5" w:rsidRPr="00A17B73">
        <w:rPr>
          <w:rFonts w:asciiTheme="minorHAnsi" w:hAnsiTheme="minorHAnsi"/>
          <w:sz w:val="22"/>
          <w:szCs w:val="22"/>
          <w:lang w:val="sr-Cyrl-BA"/>
        </w:rPr>
        <w:t>.</w:t>
      </w:r>
    </w:p>
    <w:p w:rsidR="002B2D3C" w:rsidRPr="00A17B73" w:rsidRDefault="00DD65E6" w:rsidP="00150094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 w:rsidRPr="00A17B73">
        <w:rPr>
          <w:rFonts w:asciiTheme="minorHAnsi" w:hAnsiTheme="minorHAnsi"/>
          <w:sz w:val="22"/>
          <w:szCs w:val="22"/>
          <w:lang w:val="sr-Cyrl-BA"/>
        </w:rPr>
        <w:t>Разлог</w:t>
      </w:r>
      <w:r w:rsidR="002B2D3C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овог</w:t>
      </w:r>
      <w:r w:rsidR="002B2D3C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смањења</w:t>
      </w:r>
      <w:r w:rsidR="002B2D3C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уплате</w:t>
      </w:r>
      <w:r w:rsidR="002B2D3C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концесионе</w:t>
      </w:r>
      <w:r w:rsidR="002B2D3C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накнаде</w:t>
      </w:r>
      <w:r w:rsidR="002B2D3C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у</w:t>
      </w:r>
      <w:r w:rsidR="002B2D3C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области</w:t>
      </w:r>
      <w:r w:rsidR="002B2D3C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пољопривреде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је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сушна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2015.</w:t>
      </w:r>
      <w:r w:rsidR="00BD5067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година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, </w:t>
      </w:r>
      <w:r w:rsidRPr="00A17B73">
        <w:rPr>
          <w:rFonts w:asciiTheme="minorHAnsi" w:hAnsiTheme="minorHAnsi"/>
          <w:sz w:val="22"/>
          <w:szCs w:val="22"/>
          <w:lang w:val="sr-Cyrl-BA"/>
        </w:rPr>
        <w:t>а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и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смањен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број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контрола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гдје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би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се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концесионару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указало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на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уговорну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обавезу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плаћања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концесионе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A17B73">
        <w:rPr>
          <w:rFonts w:asciiTheme="minorHAnsi" w:hAnsiTheme="minorHAnsi"/>
          <w:sz w:val="22"/>
          <w:szCs w:val="22"/>
          <w:lang w:val="sr-Cyrl-BA"/>
        </w:rPr>
        <w:t>накнаде</w:t>
      </w:r>
      <w:r w:rsidR="000D527F" w:rsidRPr="00A17B73">
        <w:rPr>
          <w:rFonts w:asciiTheme="minorHAnsi" w:hAnsiTheme="minorHAnsi"/>
          <w:sz w:val="22"/>
          <w:szCs w:val="22"/>
          <w:lang w:val="sr-Cyrl-BA"/>
        </w:rPr>
        <w:t>.</w:t>
      </w:r>
    </w:p>
    <w:p w:rsidR="00703498" w:rsidRPr="00703498" w:rsidRDefault="00703498" w:rsidP="00703498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 w:rsidRPr="00703498">
        <w:rPr>
          <w:rFonts w:asciiTheme="minorHAnsi" w:hAnsiTheme="minorHAnsi"/>
          <w:sz w:val="22"/>
          <w:szCs w:val="22"/>
          <w:lang w:val="sr-Cyrl-BA"/>
        </w:rPr>
        <w:t>У графикону бр. 10.  такође је приказана  наплата концесионе накнде у области пољопривреде за последње три године.</w:t>
      </w:r>
    </w:p>
    <w:p w:rsidR="00703498" w:rsidRDefault="00703498" w:rsidP="00703498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703498" w:rsidRDefault="00703498" w:rsidP="00703498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703498" w:rsidRPr="00703498" w:rsidRDefault="00703498" w:rsidP="00703498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703498" w:rsidRDefault="00703498" w:rsidP="00703498">
      <w:pPr>
        <w:shd w:val="clear" w:color="auto" w:fill="FFFFFF"/>
        <w:spacing w:after="120"/>
        <w:jc w:val="both"/>
        <w:rPr>
          <w:rFonts w:asciiTheme="minorHAnsi" w:hAnsiTheme="minorHAnsi"/>
          <w:b/>
          <w:i/>
          <w:sz w:val="22"/>
          <w:szCs w:val="22"/>
          <w:u w:val="single"/>
          <w:lang w:val="sr-Cyrl-BA"/>
        </w:rPr>
      </w:pPr>
      <w:r w:rsidRPr="00703498">
        <w:rPr>
          <w:rFonts w:asciiTheme="minorHAnsi" w:hAnsiTheme="minorHAnsi"/>
          <w:b/>
          <w:i/>
          <w:sz w:val="22"/>
          <w:szCs w:val="22"/>
          <w:u w:val="single"/>
          <w:lang w:val="sr-Cyrl-BA"/>
        </w:rPr>
        <w:t>Графикон. 9.</w:t>
      </w:r>
    </w:p>
    <w:p w:rsidR="00703498" w:rsidRPr="007F3DE0" w:rsidRDefault="00703498" w:rsidP="00703498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noProof/>
        </w:rPr>
        <w:drawing>
          <wp:inline distT="0" distB="0" distL="0" distR="0" wp14:anchorId="3E44B391" wp14:editId="6CA99824">
            <wp:extent cx="5667555" cy="1932317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03498" w:rsidRPr="00703498" w:rsidRDefault="00703498" w:rsidP="00703498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34210D" w:rsidRDefault="00DD65E6" w:rsidP="00150094">
      <w:pPr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Након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извршених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контрола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стране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Комисије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Пореске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управе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примјећује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континуирани</w:t>
      </w:r>
      <w:r w:rsidR="005C3936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наставак</w:t>
      </w:r>
      <w:r w:rsidR="005C3936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оквирно</w:t>
      </w:r>
      <w:r w:rsidR="005C3936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истог</w:t>
      </w:r>
      <w:r w:rsidR="005C3936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износа</w:t>
      </w:r>
      <w:r w:rsidR="005C3936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уплате</w:t>
      </w:r>
      <w:r w:rsidR="005C3936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5C3936" w:rsidRPr="007F3DE0">
        <w:rPr>
          <w:rFonts w:asciiTheme="minorHAnsi" w:hAnsiTheme="minorHAnsi"/>
          <w:sz w:val="22"/>
          <w:szCs w:val="22"/>
          <w:lang w:val="sr-Cyrl-CS"/>
        </w:rPr>
        <w:t xml:space="preserve"> 2015.</w:t>
      </w:r>
      <w:r w:rsidR="00BD506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години</w:t>
      </w:r>
      <w:r w:rsidR="005C3936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као</w:t>
      </w:r>
      <w:r w:rsidR="005C3936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5C3936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5C3936" w:rsidRPr="007F3DE0">
        <w:rPr>
          <w:rFonts w:asciiTheme="minorHAnsi" w:hAnsiTheme="minorHAnsi"/>
          <w:sz w:val="22"/>
          <w:szCs w:val="22"/>
          <w:lang w:val="sr-Cyrl-CS"/>
        </w:rPr>
        <w:t xml:space="preserve"> 2014.</w:t>
      </w:r>
      <w:r w:rsidR="00BD506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години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области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приређивања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игара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срећу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пошто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Концесионар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уплате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вршио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тачну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врсту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прихода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- </w:t>
      </w:r>
      <w:r>
        <w:rPr>
          <w:rFonts w:asciiTheme="minorHAnsi" w:hAnsiTheme="minorHAnsi"/>
          <w:sz w:val="22"/>
          <w:szCs w:val="22"/>
          <w:lang w:val="sr-Cyrl-CS"/>
        </w:rPr>
        <w:t>ВП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приређивање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игара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срећу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као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закључењу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уговора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2011. </w:t>
      </w:r>
      <w:r>
        <w:rPr>
          <w:rFonts w:asciiTheme="minorHAnsi" w:hAnsiTheme="minorHAnsi"/>
          <w:sz w:val="22"/>
          <w:szCs w:val="22"/>
          <w:lang w:val="sr-Cyrl-CS"/>
        </w:rPr>
        <w:t>годину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врсту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прихода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Закону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играма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срећу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Иако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Анексом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број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3</w:t>
      </w:r>
      <w:r w:rsidR="008C7282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8C7282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Анексом</w:t>
      </w:r>
      <w:r w:rsidR="008C7282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број</w:t>
      </w:r>
      <w:r w:rsidR="008C7282" w:rsidRPr="007F3DE0">
        <w:rPr>
          <w:rFonts w:asciiTheme="minorHAnsi" w:hAnsiTheme="minorHAnsi"/>
          <w:sz w:val="22"/>
          <w:szCs w:val="22"/>
          <w:lang w:val="sr-Cyrl-CS"/>
        </w:rPr>
        <w:t xml:space="preserve"> 4 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смањен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број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аутомата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приређивање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игара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срећу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просторијама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Концесионара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дошло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</w:t>
      </w:r>
      <w:r w:rsidR="005C3936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оквирно</w:t>
      </w:r>
      <w:r w:rsidR="005C3936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истог</w:t>
      </w:r>
      <w:r w:rsidR="005C3936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нивоа</w:t>
      </w:r>
      <w:r w:rsidR="005C3936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уплаћене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концесионе</w:t>
      </w:r>
      <w:r w:rsidR="0034210D" w:rsidRPr="007F3DE0">
        <w:rPr>
          <w:rFonts w:asciiTheme="minorHAnsi" w:hAnsiTheme="minorHAnsi"/>
          <w:i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накнаде</w:t>
      </w:r>
      <w:r w:rsidR="0034210D" w:rsidRPr="007F3DE0">
        <w:rPr>
          <w:rFonts w:asciiTheme="minorHAnsi" w:hAnsiTheme="minorHAnsi"/>
          <w:sz w:val="22"/>
          <w:szCs w:val="22"/>
          <w:lang w:val="sr-Cyrl-CS"/>
        </w:rPr>
        <w:t>.</w:t>
      </w:r>
    </w:p>
    <w:p w:rsidR="00A0764C" w:rsidRPr="00A0764C" w:rsidRDefault="00A0764C" w:rsidP="00A0764C">
      <w:pPr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  <w:r w:rsidRPr="00A0764C">
        <w:rPr>
          <w:rFonts w:asciiTheme="minorHAnsi" w:hAnsiTheme="minorHAnsi"/>
          <w:sz w:val="22"/>
          <w:szCs w:val="22"/>
          <w:lang w:val="sr-Cyrl-CS"/>
        </w:rPr>
        <w:t>Како се ради само о једном концсиорану, тешко је говорити о реалним показатељима тенденције у наплати прихода у  овој области. Тек уколико би се евентуалног повећавао  број  уговора у овој области могли бисмо правити одговарајућа квалитатитвна и квантитативна поређења и анализе.</w:t>
      </w:r>
    </w:p>
    <w:p w:rsidR="00A0764C" w:rsidRPr="000176C4" w:rsidRDefault="00A0764C" w:rsidP="00A0764C">
      <w:pPr>
        <w:spacing w:after="120"/>
        <w:jc w:val="both"/>
        <w:rPr>
          <w:rFonts w:asciiTheme="minorHAnsi" w:hAnsiTheme="minorHAnsi"/>
          <w:b/>
          <w:i/>
          <w:sz w:val="22"/>
          <w:szCs w:val="22"/>
          <w:u w:val="single"/>
          <w:lang w:val="sr-Cyrl-CS"/>
        </w:rPr>
      </w:pPr>
      <w:r w:rsidRPr="00A0764C">
        <w:rPr>
          <w:rFonts w:asciiTheme="minorHAnsi" w:hAnsiTheme="minorHAnsi"/>
          <w:b/>
          <w:i/>
          <w:sz w:val="22"/>
          <w:szCs w:val="22"/>
          <w:u w:val="single"/>
          <w:lang w:val="sr-Cyrl-CS"/>
        </w:rPr>
        <w:t>Г</w:t>
      </w:r>
      <w:r w:rsidRPr="000176C4">
        <w:rPr>
          <w:rFonts w:asciiTheme="minorHAnsi" w:hAnsiTheme="minorHAnsi"/>
          <w:b/>
          <w:i/>
          <w:sz w:val="22"/>
          <w:szCs w:val="22"/>
          <w:u w:val="single"/>
          <w:lang w:val="sr-Cyrl-CS"/>
        </w:rPr>
        <w:t xml:space="preserve">рафикон  </w:t>
      </w:r>
      <w:r>
        <w:rPr>
          <w:rFonts w:asciiTheme="minorHAnsi" w:hAnsiTheme="minorHAnsi"/>
          <w:b/>
          <w:i/>
          <w:sz w:val="22"/>
          <w:szCs w:val="22"/>
          <w:u w:val="single"/>
          <w:lang w:val="sr-Cyrl-CS"/>
        </w:rPr>
        <w:t>10</w:t>
      </w:r>
      <w:r w:rsidRPr="000176C4">
        <w:rPr>
          <w:rFonts w:asciiTheme="minorHAnsi" w:hAnsiTheme="minorHAnsi"/>
          <w:b/>
          <w:i/>
          <w:sz w:val="22"/>
          <w:szCs w:val="22"/>
          <w:u w:val="single"/>
          <w:lang w:val="sr-Cyrl-CS"/>
        </w:rPr>
        <w:t>.</w:t>
      </w:r>
    </w:p>
    <w:p w:rsidR="00A0764C" w:rsidRPr="00C75681" w:rsidRDefault="00A0764C" w:rsidP="00A0764C">
      <w:pPr>
        <w:spacing w:after="120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noProof/>
        </w:rPr>
        <w:drawing>
          <wp:inline distT="0" distB="0" distL="0" distR="0" wp14:anchorId="2C139DC3" wp14:editId="0798092D">
            <wp:extent cx="5650302" cy="1259457"/>
            <wp:effectExtent l="0" t="0" r="762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0764C" w:rsidRDefault="00A0764C" w:rsidP="00150094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766707" w:rsidRPr="00766707" w:rsidRDefault="00766707" w:rsidP="00150094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8C7282" w:rsidRDefault="00DD65E6" w:rsidP="00150094">
      <w:pPr>
        <w:spacing w:after="120"/>
        <w:jc w:val="both"/>
        <w:rPr>
          <w:rStyle w:val="Strong"/>
          <w:rFonts w:asciiTheme="minorHAnsi" w:hAnsiTheme="minorHAnsi"/>
          <w:b w:val="0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lastRenderedPageBreak/>
        <w:t>Што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тиче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Спортско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>-</w:t>
      </w:r>
      <w:r>
        <w:rPr>
          <w:rFonts w:asciiTheme="minorHAnsi" w:hAnsiTheme="minorHAnsi"/>
          <w:sz w:val="22"/>
          <w:szCs w:val="22"/>
          <w:lang w:val="sr-Cyrl-BA"/>
        </w:rPr>
        <w:t>риболовних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друштава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нити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једно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Спортско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>-</w:t>
      </w:r>
      <w:r>
        <w:rPr>
          <w:rFonts w:asciiTheme="minorHAnsi" w:hAnsiTheme="minorHAnsi"/>
          <w:sz w:val="22"/>
          <w:szCs w:val="22"/>
          <w:lang w:val="sr-Cyrl-BA"/>
        </w:rPr>
        <w:t>риболовно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друштво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нема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закључен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концесиони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коришћење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водних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токова</w:t>
      </w:r>
      <w:r w:rsidR="00BD506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BD506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улов</w:t>
      </w:r>
      <w:r w:rsidR="00BD506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рибе</w:t>
      </w:r>
      <w:r w:rsidR="00BD506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али</w:t>
      </w:r>
      <w:r w:rsidR="00BD506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уплате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такве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радње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Спортско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>-</w:t>
      </w:r>
      <w:r>
        <w:rPr>
          <w:rFonts w:asciiTheme="minorHAnsi" w:hAnsiTheme="minorHAnsi"/>
          <w:sz w:val="22"/>
          <w:szCs w:val="22"/>
          <w:lang w:val="sr-Cyrl-BA"/>
        </w:rPr>
        <w:t>риболовна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друштва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вршила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врсту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прихода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721112 - </w:t>
      </w:r>
      <w:r>
        <w:rPr>
          <w:rFonts w:asciiTheme="minorHAnsi" w:hAnsiTheme="minorHAnsi"/>
          <w:sz w:val="22"/>
          <w:szCs w:val="22"/>
          <w:lang w:val="sr-Cyrl-BA"/>
        </w:rPr>
        <w:t>Приход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давања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права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експлоатацију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природних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ресурса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патената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ауторских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права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ВП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основна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врста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прихода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концесионе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накнаде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По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том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основу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уплата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концесионе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накнаде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износила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укупно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34210D" w:rsidRPr="002419AA">
        <w:rPr>
          <w:rFonts w:asciiTheme="minorHAnsi" w:hAnsiTheme="minorHAnsi"/>
          <w:sz w:val="22"/>
          <w:szCs w:val="22"/>
          <w:lang w:val="sr-Cyrl-BA"/>
        </w:rPr>
        <w:tab/>
      </w:r>
      <w:r w:rsidR="003C4933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119.070,50</w:t>
      </w:r>
      <w:r w:rsidR="0034210D" w:rsidRPr="002419AA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КМ</w:t>
      </w:r>
      <w:r w:rsidR="003C4933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 xml:space="preserve">, </w:t>
      </w:r>
      <w:r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износ</w:t>
      </w:r>
      <w:r w:rsidR="003C4933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оквирно</w:t>
      </w:r>
      <w:r w:rsidR="003C4933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исти</w:t>
      </w:r>
      <w:r w:rsidR="003C4933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као</w:t>
      </w:r>
      <w:r w:rsidR="003C4933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и</w:t>
      </w:r>
      <w:r w:rsidR="003C4933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у</w:t>
      </w:r>
      <w:r w:rsidR="0034210D" w:rsidRPr="00232CF6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 xml:space="preserve"> 2014.</w:t>
      </w:r>
      <w:r w:rsidR="0034210D" w:rsidRPr="002419AA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години</w:t>
      </w:r>
      <w:r w:rsidR="0034210D" w:rsidRPr="00232CF6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 xml:space="preserve">, </w:t>
      </w:r>
      <w:r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од</w:t>
      </w:r>
      <w:r w:rsidR="0034210D" w:rsidRPr="00232CF6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стране</w:t>
      </w:r>
      <w:r w:rsidR="0034210D" w:rsidRPr="00232CF6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 xml:space="preserve"> 54</w:t>
      </w:r>
      <w:r w:rsidR="0034210D" w:rsidRPr="002419AA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 xml:space="preserve"> (</w:t>
      </w:r>
      <w:r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педесетчетири</w:t>
      </w:r>
      <w:r w:rsidR="0034210D" w:rsidRPr="002419AA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 xml:space="preserve">) </w:t>
      </w:r>
      <w:r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Спортско</w:t>
      </w:r>
      <w:r w:rsidR="0034210D" w:rsidRPr="002419AA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-</w:t>
      </w:r>
      <w:r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риболовна</w:t>
      </w:r>
      <w:r w:rsidR="0034210D" w:rsidRPr="00232CF6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друштва</w:t>
      </w:r>
      <w:r w:rsidR="0034210D" w:rsidRPr="002419AA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 w:rsidR="00A0764C" w:rsidRPr="00A0764C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што приказује графикон 1</w:t>
      </w:r>
      <w:r w:rsidR="00A0764C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1</w:t>
      </w:r>
      <w:r w:rsidR="00A0764C" w:rsidRPr="00A0764C">
        <w:rPr>
          <w:rStyle w:val="Strong"/>
          <w:rFonts w:asciiTheme="minorHAnsi" w:hAnsiTheme="minorHAnsi"/>
          <w:b w:val="0"/>
          <w:sz w:val="22"/>
          <w:szCs w:val="22"/>
          <w:lang w:val="sr-Cyrl-BA"/>
        </w:rPr>
        <w:t>.</w:t>
      </w:r>
    </w:p>
    <w:p w:rsidR="001E0A89" w:rsidRDefault="00EA3FF3" w:rsidP="00A1431D">
      <w:pPr>
        <w:keepNext/>
        <w:spacing w:after="120"/>
        <w:outlineLvl w:val="0"/>
        <w:rPr>
          <w:rFonts w:asciiTheme="minorHAnsi" w:hAnsiTheme="minorHAnsi"/>
          <w:b/>
          <w:bCs/>
          <w:i/>
          <w:sz w:val="22"/>
          <w:szCs w:val="22"/>
          <w:u w:val="single"/>
          <w:lang w:val="sr-Cyrl-CS"/>
        </w:rPr>
      </w:pPr>
      <w:bookmarkStart w:id="72" w:name="_Toc418075639"/>
      <w:r w:rsidRPr="00EA3FF3">
        <w:rPr>
          <w:rFonts w:asciiTheme="minorHAnsi" w:hAnsiTheme="minorHAnsi"/>
          <w:b/>
          <w:bCs/>
          <w:i/>
          <w:sz w:val="22"/>
          <w:szCs w:val="22"/>
          <w:u w:val="single"/>
          <w:lang w:val="sr-Cyrl-CS"/>
        </w:rPr>
        <w:t xml:space="preserve">Графикон </w:t>
      </w:r>
      <w:r>
        <w:rPr>
          <w:rFonts w:asciiTheme="minorHAnsi" w:hAnsiTheme="minorHAnsi"/>
          <w:b/>
          <w:bCs/>
          <w:i/>
          <w:sz w:val="22"/>
          <w:szCs w:val="22"/>
          <w:u w:val="single"/>
          <w:lang w:val="sr-Cyrl-CS"/>
        </w:rPr>
        <w:t>11.</w:t>
      </w:r>
    </w:p>
    <w:p w:rsidR="00204962" w:rsidRDefault="00204962" w:rsidP="00204962">
      <w:pPr>
        <w:spacing w:after="120"/>
        <w:jc w:val="both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070D9BF7" wp14:editId="3025095B">
            <wp:extent cx="5727940" cy="1949569"/>
            <wp:effectExtent l="0" t="0" r="635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04962" w:rsidRPr="00EA3FF3" w:rsidRDefault="00204962" w:rsidP="00A1431D">
      <w:pPr>
        <w:keepNext/>
        <w:spacing w:after="120"/>
        <w:outlineLvl w:val="0"/>
        <w:rPr>
          <w:rFonts w:asciiTheme="minorHAnsi" w:hAnsiTheme="minorHAnsi"/>
          <w:b/>
          <w:bCs/>
          <w:i/>
          <w:sz w:val="22"/>
          <w:szCs w:val="22"/>
          <w:u w:val="single"/>
          <w:lang w:val="sr-Cyrl-CS"/>
        </w:rPr>
      </w:pPr>
    </w:p>
    <w:p w:rsidR="00EA3FF3" w:rsidRDefault="00EA3FF3" w:rsidP="00A1431D">
      <w:pPr>
        <w:keepNext/>
        <w:spacing w:after="120"/>
        <w:outlineLvl w:val="0"/>
        <w:rPr>
          <w:rFonts w:asciiTheme="majorHAnsi" w:hAnsiTheme="majorHAnsi"/>
          <w:bCs/>
          <w:sz w:val="22"/>
          <w:szCs w:val="22"/>
        </w:rPr>
      </w:pPr>
    </w:p>
    <w:p w:rsidR="00766707" w:rsidRPr="00766707" w:rsidRDefault="00766707" w:rsidP="00A1431D">
      <w:pPr>
        <w:keepNext/>
        <w:spacing w:after="120"/>
        <w:outlineLvl w:val="0"/>
        <w:rPr>
          <w:rFonts w:asciiTheme="majorHAnsi" w:hAnsiTheme="majorHAnsi"/>
          <w:bCs/>
          <w:sz w:val="22"/>
          <w:szCs w:val="22"/>
        </w:rPr>
      </w:pPr>
    </w:p>
    <w:p w:rsidR="00A1431D" w:rsidRPr="00766707" w:rsidRDefault="00DD65E6" w:rsidP="00766707">
      <w:pPr>
        <w:pStyle w:val="ListParagraph"/>
        <w:keepNext/>
        <w:numPr>
          <w:ilvl w:val="0"/>
          <w:numId w:val="3"/>
        </w:numPr>
        <w:spacing w:after="120"/>
        <w:outlineLvl w:val="0"/>
        <w:rPr>
          <w:rFonts w:asciiTheme="majorHAnsi" w:hAnsiTheme="majorHAnsi"/>
          <w:b/>
          <w:bCs/>
        </w:rPr>
      </w:pPr>
      <w:r w:rsidRPr="00766707">
        <w:rPr>
          <w:rFonts w:asciiTheme="majorHAnsi" w:hAnsiTheme="majorHAnsi"/>
          <w:b/>
          <w:bCs/>
          <w:lang w:val="sr-Cyrl-CS"/>
        </w:rPr>
        <w:t>БУЏЕТ</w:t>
      </w:r>
      <w:bookmarkEnd w:id="72"/>
    </w:p>
    <w:p w:rsidR="00766707" w:rsidRPr="00766707" w:rsidRDefault="00766707" w:rsidP="00766707">
      <w:pPr>
        <w:keepNext/>
        <w:spacing w:after="120"/>
        <w:ind w:left="360"/>
        <w:outlineLvl w:val="0"/>
        <w:rPr>
          <w:rFonts w:asciiTheme="minorHAnsi" w:hAnsiTheme="minorHAnsi"/>
          <w:b/>
          <w:bCs/>
        </w:rPr>
      </w:pPr>
    </w:p>
    <w:p w:rsidR="00A1431D" w:rsidRPr="008747E8" w:rsidRDefault="00A1431D" w:rsidP="00A1431D">
      <w:pPr>
        <w:spacing w:after="120"/>
        <w:jc w:val="both"/>
        <w:rPr>
          <w:rFonts w:asciiTheme="majorHAnsi" w:hAnsiTheme="majorHAnsi" w:cs="Calibri"/>
          <w:lang w:val="sr-Cyrl-BA"/>
        </w:rPr>
      </w:pPr>
      <w:bookmarkStart w:id="73" w:name="_Toc418075640"/>
      <w:r w:rsidRPr="008747E8">
        <w:rPr>
          <w:rFonts w:asciiTheme="majorHAnsi" w:hAnsiTheme="majorHAnsi" w:cs="Calibri"/>
          <w:lang w:val="sr-Cyrl-BA"/>
        </w:rPr>
        <w:t xml:space="preserve">5.1. </w:t>
      </w:r>
      <w:r w:rsidR="00DD65E6">
        <w:rPr>
          <w:rFonts w:asciiTheme="majorHAnsi" w:hAnsiTheme="majorHAnsi" w:cs="Calibri"/>
          <w:lang w:val="sr-Cyrl-BA"/>
        </w:rPr>
        <w:t>Финансијски</w:t>
      </w:r>
      <w:r w:rsidRPr="008747E8">
        <w:rPr>
          <w:rFonts w:asciiTheme="majorHAnsi" w:hAnsiTheme="majorHAnsi" w:cs="Calibri"/>
          <w:lang w:val="sr-Cyrl-BA"/>
        </w:rPr>
        <w:t xml:space="preserve"> </w:t>
      </w:r>
      <w:r w:rsidR="00DD65E6">
        <w:rPr>
          <w:rFonts w:asciiTheme="majorHAnsi" w:hAnsiTheme="majorHAnsi" w:cs="Calibri"/>
          <w:lang w:val="sr-Cyrl-BA"/>
        </w:rPr>
        <w:t>приходи</w:t>
      </w:r>
      <w:r w:rsidRPr="008747E8">
        <w:rPr>
          <w:rFonts w:asciiTheme="majorHAnsi" w:hAnsiTheme="majorHAnsi" w:cs="Calibri"/>
          <w:lang w:val="sr-Cyrl-BA"/>
        </w:rPr>
        <w:t xml:space="preserve">, </w:t>
      </w:r>
      <w:r w:rsidR="00DD65E6">
        <w:rPr>
          <w:rFonts w:asciiTheme="majorHAnsi" w:hAnsiTheme="majorHAnsi" w:cs="Calibri"/>
          <w:lang w:val="sr-Cyrl-BA"/>
        </w:rPr>
        <w:t>трошкови</w:t>
      </w:r>
      <w:r w:rsidRPr="008747E8">
        <w:rPr>
          <w:rFonts w:asciiTheme="majorHAnsi" w:hAnsiTheme="majorHAnsi" w:cs="Calibri"/>
          <w:lang w:val="sr-Cyrl-BA"/>
        </w:rPr>
        <w:t xml:space="preserve"> </w:t>
      </w:r>
      <w:r w:rsidR="00DD65E6">
        <w:rPr>
          <w:rFonts w:asciiTheme="majorHAnsi" w:hAnsiTheme="majorHAnsi" w:cs="Calibri"/>
          <w:lang w:val="sr-Cyrl-BA"/>
        </w:rPr>
        <w:t>и</w:t>
      </w:r>
      <w:r w:rsidRPr="008747E8">
        <w:rPr>
          <w:rFonts w:asciiTheme="majorHAnsi" w:hAnsiTheme="majorHAnsi" w:cs="Calibri"/>
          <w:lang w:val="sr-Cyrl-BA"/>
        </w:rPr>
        <w:t xml:space="preserve"> </w:t>
      </w:r>
      <w:r w:rsidR="00DD65E6">
        <w:rPr>
          <w:rFonts w:asciiTheme="majorHAnsi" w:hAnsiTheme="majorHAnsi" w:cs="Calibri"/>
          <w:lang w:val="sr-Cyrl-BA"/>
        </w:rPr>
        <w:t>расходи</w:t>
      </w:r>
      <w:r w:rsidRPr="008747E8">
        <w:rPr>
          <w:rFonts w:asciiTheme="majorHAnsi" w:hAnsiTheme="majorHAnsi" w:cs="Calibri"/>
          <w:lang w:val="sr-Cyrl-BA"/>
        </w:rPr>
        <w:t xml:space="preserve"> </w:t>
      </w:r>
      <w:r w:rsidR="00DD65E6">
        <w:rPr>
          <w:rFonts w:asciiTheme="majorHAnsi" w:hAnsiTheme="majorHAnsi" w:cs="Calibri"/>
          <w:lang w:val="sr-Cyrl-BA"/>
        </w:rPr>
        <w:t>Комисије</w:t>
      </w:r>
      <w:r w:rsidRPr="008747E8">
        <w:rPr>
          <w:rFonts w:asciiTheme="majorHAnsi" w:hAnsiTheme="majorHAnsi" w:cs="Calibri"/>
          <w:lang w:val="sr-Cyrl-BA"/>
        </w:rPr>
        <w:t xml:space="preserve"> </w:t>
      </w:r>
      <w:r w:rsidR="00DD65E6">
        <w:rPr>
          <w:rFonts w:asciiTheme="majorHAnsi" w:hAnsiTheme="majorHAnsi" w:cs="Calibri"/>
          <w:lang w:val="sr-Cyrl-BA"/>
        </w:rPr>
        <w:t>за</w:t>
      </w:r>
      <w:r w:rsidRPr="008747E8">
        <w:rPr>
          <w:rFonts w:asciiTheme="majorHAnsi" w:hAnsiTheme="majorHAnsi" w:cs="Calibri"/>
          <w:lang w:val="sr-Cyrl-BA"/>
        </w:rPr>
        <w:t xml:space="preserve"> </w:t>
      </w:r>
      <w:r w:rsidR="00DD65E6">
        <w:rPr>
          <w:rFonts w:asciiTheme="majorHAnsi" w:hAnsiTheme="majorHAnsi" w:cs="Calibri"/>
          <w:lang w:val="sr-Cyrl-BA"/>
        </w:rPr>
        <w:t>концесије</w:t>
      </w:r>
      <w:r w:rsidRPr="008747E8">
        <w:rPr>
          <w:rFonts w:asciiTheme="majorHAnsi" w:hAnsiTheme="majorHAnsi" w:cs="Calibri"/>
          <w:lang w:val="sr-Cyrl-BA"/>
        </w:rPr>
        <w:t xml:space="preserve"> </w:t>
      </w:r>
      <w:r w:rsidR="00DD65E6">
        <w:rPr>
          <w:rFonts w:asciiTheme="majorHAnsi" w:hAnsiTheme="majorHAnsi" w:cs="Calibri"/>
          <w:lang w:val="sr-Cyrl-BA"/>
        </w:rPr>
        <w:t>Републике</w:t>
      </w:r>
      <w:r w:rsidRPr="008747E8">
        <w:rPr>
          <w:rFonts w:asciiTheme="majorHAnsi" w:hAnsiTheme="majorHAnsi" w:cs="Calibri"/>
          <w:lang w:val="sr-Cyrl-BA"/>
        </w:rPr>
        <w:t xml:space="preserve"> </w:t>
      </w:r>
      <w:r w:rsidR="00DD65E6">
        <w:rPr>
          <w:rFonts w:asciiTheme="majorHAnsi" w:hAnsiTheme="majorHAnsi" w:cs="Calibri"/>
          <w:lang w:val="sr-Cyrl-BA"/>
        </w:rPr>
        <w:t>Српске</w:t>
      </w:r>
      <w:bookmarkEnd w:id="73"/>
    </w:p>
    <w:p w:rsidR="00A1431D" w:rsidRPr="008747E8" w:rsidRDefault="00A1431D" w:rsidP="00A1431D">
      <w:pPr>
        <w:jc w:val="both"/>
        <w:rPr>
          <w:rFonts w:asciiTheme="minorHAnsi" w:hAnsiTheme="minorHAnsi"/>
          <w:b/>
          <w:sz w:val="28"/>
          <w:szCs w:val="22"/>
          <w:lang w:val="sr-Cyrl-CS"/>
        </w:rPr>
      </w:pPr>
    </w:p>
    <w:p w:rsidR="00A1431D" w:rsidRPr="003A5293" w:rsidRDefault="00DD65E6" w:rsidP="003A5293">
      <w:pPr>
        <w:rPr>
          <w:rFonts w:asciiTheme="minorHAnsi" w:eastAsia="Calibri" w:hAnsiTheme="minorHAnsi"/>
          <w:sz w:val="22"/>
          <w:szCs w:val="22"/>
          <w:lang w:val="sr-Cyrl-BA"/>
        </w:rPr>
      </w:pPr>
      <w:r>
        <w:rPr>
          <w:rFonts w:asciiTheme="minorHAnsi" w:eastAsia="Calibri" w:hAnsiTheme="minorHAnsi"/>
          <w:sz w:val="22"/>
          <w:szCs w:val="22"/>
          <w:lang w:val="sr-Cyrl-BA"/>
        </w:rPr>
        <w:t>Чланом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56. </w:t>
      </w:r>
      <w:r>
        <w:rPr>
          <w:rFonts w:asciiTheme="minorHAnsi" w:eastAsia="Calibri" w:hAnsiTheme="minorHAnsi"/>
          <w:sz w:val="22"/>
          <w:szCs w:val="22"/>
          <w:lang w:val="sr-Cyrl-BA"/>
        </w:rPr>
        <w:t>Закона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о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концесијама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регулисан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је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начин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финансирања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рада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Комисије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. </w:t>
      </w:r>
      <w:r>
        <w:rPr>
          <w:rFonts w:asciiTheme="minorHAnsi" w:eastAsia="Calibri" w:hAnsiTheme="minorHAnsi"/>
          <w:sz w:val="22"/>
          <w:szCs w:val="22"/>
          <w:lang w:val="sr-Cyrl-BA"/>
        </w:rPr>
        <w:t>Средства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се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планирају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 </w:t>
      </w:r>
      <w:r>
        <w:rPr>
          <w:rFonts w:asciiTheme="minorHAnsi" w:eastAsia="Calibri" w:hAnsiTheme="minorHAnsi"/>
          <w:sz w:val="22"/>
          <w:szCs w:val="22"/>
          <w:lang w:val="sr-Cyrl-BA"/>
        </w:rPr>
        <w:t>и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обезбеђују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у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буџету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Републике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Српске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>.</w:t>
      </w:r>
    </w:p>
    <w:p w:rsidR="00A1431D" w:rsidRPr="003A5293" w:rsidRDefault="00DD65E6" w:rsidP="003A5293">
      <w:pPr>
        <w:rPr>
          <w:rFonts w:asciiTheme="minorHAnsi" w:eastAsia="Calibri" w:hAnsiTheme="minorHAnsi"/>
          <w:sz w:val="22"/>
          <w:szCs w:val="22"/>
          <w:lang w:val="sr-Cyrl-BA"/>
        </w:rPr>
      </w:pPr>
      <w:r>
        <w:rPr>
          <w:rFonts w:asciiTheme="minorHAnsi" w:eastAsia="Calibri" w:hAnsiTheme="minorHAnsi"/>
          <w:sz w:val="22"/>
          <w:szCs w:val="22"/>
          <w:lang w:val="sr-Cyrl-BA"/>
        </w:rPr>
        <w:t>Буџетом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за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2015. </w:t>
      </w:r>
      <w:r>
        <w:rPr>
          <w:rFonts w:asciiTheme="minorHAnsi" w:eastAsia="Calibri" w:hAnsiTheme="minorHAnsi"/>
          <w:sz w:val="22"/>
          <w:szCs w:val="22"/>
          <w:lang w:val="sr-Cyrl-BA"/>
        </w:rPr>
        <w:t>годину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sr-Cyrl-BA"/>
        </w:rPr>
        <w:t>средства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су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планирана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у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оквиру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буџета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Генерелног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секретеријата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Владе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Републике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Српске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sr-Cyrl-BA"/>
        </w:rPr>
        <w:t>у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износу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од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800.000 </w:t>
      </w:r>
      <w:r>
        <w:rPr>
          <w:rFonts w:asciiTheme="minorHAnsi" w:eastAsia="Calibri" w:hAnsiTheme="minorHAnsi"/>
          <w:sz w:val="22"/>
          <w:szCs w:val="22"/>
          <w:lang w:val="sr-Cyrl-BA"/>
        </w:rPr>
        <w:t>КМ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sr-Cyrl-BA"/>
        </w:rPr>
        <w:t>на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позицији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482100 - </w:t>
      </w:r>
      <w:r>
        <w:rPr>
          <w:rFonts w:asciiTheme="minorHAnsi" w:eastAsia="Calibri" w:hAnsiTheme="minorHAnsi"/>
          <w:sz w:val="22"/>
          <w:szCs w:val="22"/>
          <w:lang w:val="sr-Cyrl-BA"/>
        </w:rPr>
        <w:t>трансфер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Комисији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за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концесији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Републике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sr-Cyrl-BA"/>
        </w:rPr>
        <w:t>Српске</w:t>
      </w:r>
      <w:r w:rsidR="00A1431D" w:rsidRPr="003A5293">
        <w:rPr>
          <w:rFonts w:asciiTheme="minorHAnsi" w:eastAsia="Calibri" w:hAnsiTheme="minorHAnsi"/>
          <w:sz w:val="22"/>
          <w:szCs w:val="22"/>
          <w:lang w:val="sr-Cyrl-BA"/>
        </w:rPr>
        <w:t>.</w:t>
      </w:r>
    </w:p>
    <w:p w:rsidR="003A5293" w:rsidRDefault="003A5293" w:rsidP="003A5293">
      <w:pPr>
        <w:rPr>
          <w:rFonts w:asciiTheme="minorHAnsi" w:hAnsiTheme="minorHAnsi"/>
          <w:sz w:val="22"/>
          <w:szCs w:val="22"/>
          <w:lang w:val="sr-Cyrl-CS"/>
        </w:rPr>
      </w:pPr>
    </w:p>
    <w:p w:rsidR="00A1431D" w:rsidRPr="003A5293" w:rsidRDefault="00DD65E6" w:rsidP="003A5293">
      <w:p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У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2015. </w:t>
      </w:r>
      <w:r>
        <w:rPr>
          <w:rFonts w:asciiTheme="minorHAnsi" w:hAnsiTheme="minorHAnsi"/>
          <w:sz w:val="22"/>
          <w:szCs w:val="22"/>
          <w:lang w:val="sr-Cyrl-CS"/>
        </w:rPr>
        <w:t>години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буџета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Републике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Српске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Комисији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дозначена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средства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износу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800.000,00 </w:t>
      </w:r>
      <w:r>
        <w:rPr>
          <w:rFonts w:asciiTheme="minorHAnsi" w:hAnsiTheme="minorHAnsi"/>
          <w:sz w:val="22"/>
          <w:szCs w:val="22"/>
          <w:lang w:val="sr-Cyrl-CS"/>
        </w:rPr>
        <w:t>КМ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а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кориштена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исплату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нето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плата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накнада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пореза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доприноса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материјалне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трошкове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набавку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једног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дијела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опреме</w:t>
      </w:r>
      <w:r w:rsidR="00A1431D" w:rsidRPr="003A5293">
        <w:rPr>
          <w:rFonts w:asciiTheme="minorHAnsi" w:hAnsiTheme="minorHAnsi"/>
          <w:sz w:val="22"/>
          <w:szCs w:val="22"/>
          <w:lang w:val="sr-Cyrl-CS"/>
        </w:rPr>
        <w:t>.</w:t>
      </w:r>
    </w:p>
    <w:p w:rsidR="00FD3B69" w:rsidRDefault="00FD3B69" w:rsidP="003A5293">
      <w:pPr>
        <w:rPr>
          <w:rFonts w:asciiTheme="minorHAnsi" w:hAnsiTheme="minorHAnsi"/>
          <w:sz w:val="22"/>
          <w:szCs w:val="22"/>
          <w:lang w:val="sr-Cyrl-CS"/>
        </w:rPr>
      </w:pPr>
    </w:p>
    <w:p w:rsidR="00C8701D" w:rsidRPr="003A5293" w:rsidRDefault="00DD65E6" w:rsidP="003A5293">
      <w:p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Усвојеним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Буџетом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Комисије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2015.</w:t>
      </w:r>
      <w:r>
        <w:rPr>
          <w:rFonts w:asciiTheme="minorHAnsi" w:hAnsiTheme="minorHAnsi"/>
          <w:sz w:val="22"/>
          <w:szCs w:val="22"/>
          <w:lang w:val="sr-Cyrl-CS"/>
        </w:rPr>
        <w:t>годину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нису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предвиђена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средства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складу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одредбама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члана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13. </w:t>
      </w:r>
      <w:r>
        <w:rPr>
          <w:rFonts w:asciiTheme="minorHAnsi" w:hAnsiTheme="minorHAnsi"/>
          <w:sz w:val="22"/>
          <w:szCs w:val="22"/>
          <w:lang w:val="sr-Cyrl-CS"/>
        </w:rPr>
        <w:t>Закона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радним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односима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државним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органима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(„</w:t>
      </w:r>
      <w:r>
        <w:rPr>
          <w:rFonts w:asciiTheme="minorHAnsi" w:hAnsiTheme="minorHAnsi"/>
          <w:sz w:val="22"/>
          <w:szCs w:val="22"/>
          <w:lang w:val="sr-Cyrl-CS"/>
        </w:rPr>
        <w:t>Службени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гласник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Републике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Српске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“ </w:t>
      </w:r>
      <w:r>
        <w:rPr>
          <w:rFonts w:asciiTheme="minorHAnsi" w:hAnsiTheme="minorHAnsi"/>
          <w:sz w:val="22"/>
          <w:szCs w:val="22"/>
          <w:lang w:val="sr-Cyrl-CS"/>
        </w:rPr>
        <w:t>бр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:11/94), </w:t>
      </w:r>
      <w:r>
        <w:rPr>
          <w:rFonts w:asciiTheme="minorHAnsi" w:hAnsiTheme="minorHAnsi"/>
          <w:sz w:val="22"/>
          <w:szCs w:val="22"/>
          <w:lang w:val="sr-Cyrl-CS"/>
        </w:rPr>
        <w:t>а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исплату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плата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бруто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износу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</w:t>
      </w:r>
      <w:r w:rsidR="003A5293" w:rsidRPr="003A5293">
        <w:rPr>
          <w:rFonts w:asciiTheme="minorHAnsi" w:hAnsiTheme="minorHAnsi"/>
          <w:sz w:val="22"/>
          <w:szCs w:val="22"/>
          <w:lang w:val="sr-Cyrl-CS"/>
        </w:rPr>
        <w:t xml:space="preserve"> 40.960,00 </w:t>
      </w:r>
      <w:r>
        <w:rPr>
          <w:rFonts w:asciiTheme="minorHAnsi" w:hAnsiTheme="minorHAnsi"/>
          <w:sz w:val="22"/>
          <w:szCs w:val="22"/>
          <w:lang w:val="sr-Cyrl-CS"/>
        </w:rPr>
        <w:t>КМ</w:t>
      </w:r>
      <w:r w:rsidR="003E706F">
        <w:rPr>
          <w:rFonts w:asciiTheme="minorHAnsi" w:hAnsiTheme="minorHAnsi"/>
          <w:sz w:val="22"/>
          <w:szCs w:val="22"/>
          <w:lang w:val="sr-Cyrl-CS"/>
        </w:rPr>
        <w:t>, а за 4 (четири) члана Комисије којима је истекао мандат, за мјесеце новембар и децембар 2015.године, те се исте обавезе преносе на наередну 2016.годину.</w:t>
      </w:r>
    </w:p>
    <w:p w:rsidR="00FD3B69" w:rsidRDefault="00FD3B69" w:rsidP="00A1431D">
      <w:pPr>
        <w:spacing w:after="120"/>
        <w:jc w:val="both"/>
        <w:rPr>
          <w:rFonts w:asciiTheme="majorHAnsi" w:hAnsiTheme="majorHAnsi" w:cs="Calibri"/>
          <w:sz w:val="26"/>
          <w:szCs w:val="26"/>
        </w:rPr>
      </w:pPr>
      <w:bookmarkStart w:id="74" w:name="_Toc418075641"/>
    </w:p>
    <w:p w:rsidR="00766707" w:rsidRDefault="00766707" w:rsidP="00A1431D">
      <w:pPr>
        <w:spacing w:after="120"/>
        <w:jc w:val="both"/>
        <w:rPr>
          <w:rFonts w:asciiTheme="majorHAnsi" w:hAnsiTheme="majorHAnsi" w:cs="Calibri"/>
          <w:sz w:val="26"/>
          <w:szCs w:val="26"/>
        </w:rPr>
      </w:pPr>
    </w:p>
    <w:p w:rsidR="00766707" w:rsidRPr="00766707" w:rsidRDefault="00766707" w:rsidP="00A1431D">
      <w:pPr>
        <w:spacing w:after="120"/>
        <w:jc w:val="both"/>
        <w:rPr>
          <w:rFonts w:asciiTheme="majorHAnsi" w:hAnsiTheme="majorHAnsi" w:cs="Calibri"/>
          <w:sz w:val="26"/>
          <w:szCs w:val="26"/>
        </w:rPr>
      </w:pPr>
    </w:p>
    <w:p w:rsidR="00A1431D" w:rsidRPr="008747E8" w:rsidRDefault="00A1431D" w:rsidP="00A1431D">
      <w:pPr>
        <w:spacing w:after="120"/>
        <w:jc w:val="both"/>
        <w:rPr>
          <w:rFonts w:asciiTheme="majorHAnsi" w:hAnsiTheme="majorHAnsi" w:cs="Calibri"/>
          <w:sz w:val="26"/>
          <w:szCs w:val="26"/>
          <w:lang w:val="sr-Cyrl-BA"/>
        </w:rPr>
      </w:pPr>
      <w:r w:rsidRPr="008747E8">
        <w:rPr>
          <w:rFonts w:asciiTheme="majorHAnsi" w:hAnsiTheme="majorHAnsi" w:cs="Calibri"/>
          <w:sz w:val="26"/>
          <w:szCs w:val="26"/>
          <w:lang w:val="sr-Cyrl-BA"/>
        </w:rPr>
        <w:lastRenderedPageBreak/>
        <w:t xml:space="preserve">5.1.1.  </w:t>
      </w:r>
      <w:r w:rsidR="00DD65E6">
        <w:rPr>
          <w:rFonts w:asciiTheme="majorHAnsi" w:hAnsiTheme="majorHAnsi" w:cs="Calibri"/>
          <w:sz w:val="26"/>
          <w:szCs w:val="26"/>
          <w:lang w:val="sr-Cyrl-BA"/>
        </w:rPr>
        <w:t>Стална</w:t>
      </w:r>
      <w:r w:rsidRPr="008747E8">
        <w:rPr>
          <w:rFonts w:asciiTheme="majorHAnsi" w:hAnsiTheme="majorHAnsi" w:cs="Calibr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 w:cs="Calibri"/>
          <w:sz w:val="26"/>
          <w:szCs w:val="26"/>
          <w:lang w:val="sr-Cyrl-BA"/>
        </w:rPr>
        <w:t>средства</w:t>
      </w:r>
      <w:r w:rsidRPr="008747E8">
        <w:rPr>
          <w:rFonts w:asciiTheme="majorHAnsi" w:hAnsiTheme="majorHAnsi" w:cs="Calibr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 w:cs="Calibri"/>
          <w:sz w:val="26"/>
          <w:szCs w:val="26"/>
          <w:lang w:val="sr-Cyrl-BA"/>
        </w:rPr>
        <w:t>Комисије</w:t>
      </w:r>
      <w:r w:rsidRPr="008747E8">
        <w:rPr>
          <w:rFonts w:asciiTheme="majorHAnsi" w:hAnsiTheme="majorHAnsi" w:cs="Calibr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 w:cs="Calibri"/>
          <w:sz w:val="26"/>
          <w:szCs w:val="26"/>
          <w:lang w:val="sr-Cyrl-BA"/>
        </w:rPr>
        <w:t>за</w:t>
      </w:r>
      <w:r w:rsidRPr="008747E8">
        <w:rPr>
          <w:rFonts w:asciiTheme="majorHAnsi" w:hAnsiTheme="majorHAnsi" w:cs="Calibr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 w:cs="Calibri"/>
          <w:sz w:val="26"/>
          <w:szCs w:val="26"/>
          <w:lang w:val="sr-Cyrl-BA"/>
        </w:rPr>
        <w:t>концесије</w:t>
      </w:r>
      <w:bookmarkEnd w:id="74"/>
      <w:r w:rsidRPr="008747E8">
        <w:rPr>
          <w:rFonts w:asciiTheme="majorHAnsi" w:hAnsiTheme="majorHAnsi" w:cs="Calibri"/>
          <w:sz w:val="26"/>
          <w:szCs w:val="26"/>
          <w:lang w:val="sr-Cyrl-BA"/>
        </w:rPr>
        <w:t xml:space="preserve"> </w:t>
      </w:r>
    </w:p>
    <w:p w:rsidR="00A1431D" w:rsidRPr="008747E8" w:rsidRDefault="00A1431D" w:rsidP="00A1431D">
      <w:pPr>
        <w:shd w:val="clear" w:color="auto" w:fill="FFFFFF"/>
        <w:jc w:val="both"/>
        <w:rPr>
          <w:rFonts w:asciiTheme="minorHAnsi" w:hAnsiTheme="minorHAnsi"/>
          <w:b/>
          <w:sz w:val="26"/>
          <w:szCs w:val="26"/>
          <w:lang w:val="sr-Cyrl-CS"/>
        </w:rPr>
      </w:pPr>
    </w:p>
    <w:p w:rsidR="00A1431D" w:rsidRPr="008747E8" w:rsidRDefault="00DD65E6" w:rsidP="00A143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Стална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средства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су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књиговодствено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евидентирана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011),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основу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одредби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Правилника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рачуноводственој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политици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за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кориснике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прихода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буџета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Републике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Српске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Књижење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се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врши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набавној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вриједности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обрачунски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отпис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примјеном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линеарне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методе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годишњим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стопама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>:</w:t>
      </w:r>
    </w:p>
    <w:p w:rsidR="00A1431D" w:rsidRPr="008747E8" w:rsidRDefault="00DD65E6" w:rsidP="00A1431D">
      <w:pPr>
        <w:numPr>
          <w:ilvl w:val="0"/>
          <w:numId w:val="26"/>
        </w:numPr>
        <w:spacing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Канцеларијски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намјештај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..........................................  12,5 (8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година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)   </w:t>
      </w:r>
    </w:p>
    <w:p w:rsidR="00A1431D" w:rsidRPr="008747E8" w:rsidRDefault="00DD65E6" w:rsidP="00A1431D">
      <w:pPr>
        <w:numPr>
          <w:ilvl w:val="0"/>
          <w:numId w:val="26"/>
        </w:numPr>
        <w:spacing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Компјутерска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опрема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.................................................  20,0 (5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година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)  </w:t>
      </w:r>
    </w:p>
    <w:p w:rsidR="00A1431D" w:rsidRPr="008747E8" w:rsidRDefault="00DD65E6" w:rsidP="00A1431D">
      <w:pPr>
        <w:numPr>
          <w:ilvl w:val="0"/>
          <w:numId w:val="26"/>
        </w:numPr>
        <w:spacing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Опрема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за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пренос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података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гласа</w:t>
      </w:r>
      <w:r w:rsidR="001E0A89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..........................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10,0 (10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година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)   </w:t>
      </w:r>
    </w:p>
    <w:p w:rsidR="00A1431D" w:rsidRPr="008747E8" w:rsidRDefault="00DD65E6" w:rsidP="00A1431D">
      <w:pPr>
        <w:numPr>
          <w:ilvl w:val="0"/>
          <w:numId w:val="26"/>
        </w:numPr>
        <w:spacing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Моторна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возила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>.............................</w:t>
      </w:r>
      <w:r w:rsidR="001E0A89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............................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15,5 (6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година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) </w:t>
      </w:r>
    </w:p>
    <w:p w:rsidR="00A1431D" w:rsidRPr="008747E8" w:rsidRDefault="00DD65E6" w:rsidP="00A1431D">
      <w:pPr>
        <w:numPr>
          <w:ilvl w:val="0"/>
          <w:numId w:val="26"/>
        </w:numPr>
        <w:spacing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Копир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апарат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>..................................</w:t>
      </w:r>
      <w:r w:rsidR="001E0A89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............................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14,3 (7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година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)  </w:t>
      </w:r>
    </w:p>
    <w:p w:rsidR="00A1431D" w:rsidRPr="008747E8" w:rsidRDefault="00DD65E6" w:rsidP="00A1431D">
      <w:pPr>
        <w:numPr>
          <w:ilvl w:val="0"/>
          <w:numId w:val="26"/>
        </w:numPr>
        <w:spacing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Уграђена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опрема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...........................</w:t>
      </w:r>
      <w:r w:rsidR="001E0A89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........................... 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16,5 (6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година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)  </w:t>
      </w:r>
    </w:p>
    <w:p w:rsidR="00A1431D" w:rsidRPr="008747E8" w:rsidRDefault="00DD65E6" w:rsidP="00A1431D">
      <w:pPr>
        <w:numPr>
          <w:ilvl w:val="0"/>
          <w:numId w:val="26"/>
        </w:numPr>
        <w:spacing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Телефонска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опрема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>...............................................</w:t>
      </w:r>
      <w:r w:rsidR="001E0A89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... 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10,0 (10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година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) </w:t>
      </w:r>
    </w:p>
    <w:p w:rsidR="00A1431D" w:rsidRPr="008747E8" w:rsidRDefault="00DD65E6" w:rsidP="00A1431D">
      <w:pPr>
        <w:numPr>
          <w:ilvl w:val="0"/>
          <w:numId w:val="26"/>
        </w:numPr>
        <w:spacing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Радио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тв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опрема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.........................</w:t>
      </w:r>
      <w:r w:rsidR="001E0A89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..........................  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12,5 (8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година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)    </w:t>
      </w:r>
    </w:p>
    <w:p w:rsidR="00A1431D" w:rsidRPr="008747E8" w:rsidRDefault="00DD65E6" w:rsidP="00A1431D">
      <w:pPr>
        <w:numPr>
          <w:ilvl w:val="0"/>
          <w:numId w:val="26"/>
        </w:numPr>
        <w:spacing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Опрема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за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гријање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.........................</w:t>
      </w:r>
      <w:r w:rsidR="001E0A89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........................    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12,5 (8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година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>)</w:t>
      </w:r>
    </w:p>
    <w:p w:rsidR="00A1431D" w:rsidRPr="008747E8" w:rsidRDefault="00DD65E6" w:rsidP="00A1431D">
      <w:pPr>
        <w:numPr>
          <w:ilvl w:val="0"/>
          <w:numId w:val="26"/>
        </w:numPr>
        <w:spacing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Опрема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за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вентилацију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.....................</w:t>
      </w:r>
      <w:r w:rsidR="001E0A89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.....................    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16,5 (6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година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)  </w:t>
      </w:r>
    </w:p>
    <w:p w:rsidR="00A1431D" w:rsidRPr="008747E8" w:rsidRDefault="00A1431D" w:rsidP="00A143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</w:p>
    <w:p w:rsidR="00A1431D" w:rsidRPr="008747E8" w:rsidRDefault="00DD65E6" w:rsidP="00A1431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Набавна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вриједност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сталне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имовине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дан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31.12.2015.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године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износи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 w:rsidR="00C8701D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161.196,60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>,</w:t>
      </w:r>
    </w:p>
    <w:p w:rsidR="00A1431D" w:rsidRPr="008747E8" w:rsidRDefault="00DD65E6" w:rsidP="00A1431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исправка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вриједности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                                                                                         148.169,89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, </w:t>
      </w:r>
    </w:p>
    <w:p w:rsidR="00A1431D" w:rsidRPr="008747E8" w:rsidRDefault="00DD65E6" w:rsidP="00A1431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садашња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неотписана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вриједност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)                                                                       </w:t>
      </w:r>
      <w:r w:rsidR="00C8701D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13.026,71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</w:p>
    <w:p w:rsidR="00A1431D" w:rsidRPr="008747E8" w:rsidRDefault="00DD65E6" w:rsidP="00A1431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амортизација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                                                                                                              9.967,44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</w:p>
    <w:p w:rsidR="00A1431D" w:rsidRPr="008747E8" w:rsidRDefault="00A1431D" w:rsidP="00A143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</w:p>
    <w:p w:rsidR="00A1431D" w:rsidRPr="008747E8" w:rsidRDefault="00DD65E6" w:rsidP="00A143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приједлог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Комисије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за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попис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имовине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обавеза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извршено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је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расходовање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искњижавање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из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евиденције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основних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средстава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опреме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);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набавне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вриједности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2.693,97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отписане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вриједности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2.417,02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књиговодствене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нетписане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)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вриједности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276,95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исказано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(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ту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471913) –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губици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основу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расходовања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опреме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. </w:t>
      </w:r>
    </w:p>
    <w:p w:rsidR="00A1431D" w:rsidRPr="008747E8" w:rsidRDefault="00DD65E6" w:rsidP="00A143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Годишњим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пописом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извршен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је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свеобухватан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попис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имовине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обавеза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на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дан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31.12.2015.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године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извршено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усклађивање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књиговодственог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са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стварним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стањем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нису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констатоване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инвентурне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разлике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Извјештај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извршеном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годишњем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попису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усвојен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је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од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стране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Комисије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за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концесије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Одлука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број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: 01-200/16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од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16.02.2016.).</w:t>
      </w:r>
    </w:p>
    <w:p w:rsidR="00A1431D" w:rsidRPr="008747E8" w:rsidRDefault="00A1431D" w:rsidP="00A1431D">
      <w:pPr>
        <w:shd w:val="clear" w:color="auto" w:fill="FFFFFF"/>
        <w:jc w:val="both"/>
        <w:rPr>
          <w:rFonts w:asciiTheme="minorHAnsi" w:hAnsiTheme="minorHAnsi"/>
          <w:sz w:val="26"/>
          <w:szCs w:val="26"/>
          <w:u w:val="single"/>
          <w:lang w:val="sr-Cyrl-CS"/>
        </w:rPr>
      </w:pPr>
    </w:p>
    <w:p w:rsidR="00A1431D" w:rsidRPr="008747E8" w:rsidRDefault="00A1431D" w:rsidP="00A1431D">
      <w:pPr>
        <w:spacing w:after="120"/>
        <w:jc w:val="both"/>
        <w:rPr>
          <w:rFonts w:asciiTheme="majorHAnsi" w:hAnsiTheme="majorHAnsi" w:cs="Calibri"/>
          <w:sz w:val="26"/>
          <w:szCs w:val="26"/>
          <w:lang w:val="sr-Cyrl-BA"/>
        </w:rPr>
      </w:pPr>
      <w:bookmarkStart w:id="75" w:name="_Toc418075642"/>
      <w:r w:rsidRPr="008747E8">
        <w:rPr>
          <w:rFonts w:asciiTheme="majorHAnsi" w:hAnsiTheme="majorHAnsi" w:cs="Calibri"/>
          <w:sz w:val="26"/>
          <w:szCs w:val="26"/>
          <w:lang w:val="sr-Cyrl-BA"/>
        </w:rPr>
        <w:t xml:space="preserve">5.1.2. </w:t>
      </w:r>
      <w:r w:rsidR="00DD65E6">
        <w:rPr>
          <w:rFonts w:asciiTheme="majorHAnsi" w:hAnsiTheme="majorHAnsi" w:cs="Calibri"/>
          <w:sz w:val="26"/>
          <w:szCs w:val="26"/>
          <w:lang w:val="sr-Cyrl-BA"/>
        </w:rPr>
        <w:t>Трошкови</w:t>
      </w:r>
      <w:r w:rsidRPr="008747E8">
        <w:rPr>
          <w:rFonts w:asciiTheme="majorHAnsi" w:hAnsiTheme="majorHAnsi" w:cs="Calibr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 w:cs="Calibri"/>
          <w:sz w:val="26"/>
          <w:szCs w:val="26"/>
          <w:lang w:val="sr-Cyrl-BA"/>
        </w:rPr>
        <w:t>плата</w:t>
      </w:r>
      <w:r w:rsidRPr="008747E8">
        <w:rPr>
          <w:rFonts w:asciiTheme="majorHAnsi" w:hAnsiTheme="majorHAnsi" w:cs="Calibr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 w:cs="Calibri"/>
          <w:sz w:val="26"/>
          <w:szCs w:val="26"/>
          <w:lang w:val="sr-Cyrl-BA"/>
        </w:rPr>
        <w:t>и</w:t>
      </w:r>
      <w:r w:rsidRPr="008747E8">
        <w:rPr>
          <w:rFonts w:asciiTheme="majorHAnsi" w:hAnsiTheme="majorHAnsi" w:cs="Calibr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 w:cs="Calibri"/>
          <w:sz w:val="26"/>
          <w:szCs w:val="26"/>
          <w:lang w:val="sr-Cyrl-BA"/>
        </w:rPr>
        <w:t>накнада</w:t>
      </w:r>
      <w:r w:rsidRPr="008747E8">
        <w:rPr>
          <w:rFonts w:asciiTheme="majorHAnsi" w:hAnsiTheme="majorHAnsi" w:cs="Calibr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 w:cs="Calibri"/>
          <w:sz w:val="26"/>
          <w:szCs w:val="26"/>
          <w:lang w:val="sr-Cyrl-BA"/>
        </w:rPr>
        <w:t>запослених</w:t>
      </w:r>
      <w:bookmarkEnd w:id="75"/>
    </w:p>
    <w:p w:rsidR="00A1431D" w:rsidRPr="008747E8" w:rsidRDefault="00DD65E6" w:rsidP="00A1431D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Плате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накнаде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14 (</w:t>
      </w:r>
      <w:r>
        <w:rPr>
          <w:rFonts w:asciiTheme="minorHAnsi" w:hAnsiTheme="minorHAnsi" w:cstheme="minorHAnsi"/>
          <w:sz w:val="22"/>
          <w:szCs w:val="22"/>
          <w:lang w:val="sr-Cyrl-CS"/>
        </w:rPr>
        <w:t>четрнаест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sr-Cyrl-CS"/>
        </w:rPr>
        <w:t>стално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запослених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двоје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запослених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по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уговору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2015. </w:t>
      </w:r>
      <w:r>
        <w:rPr>
          <w:rFonts w:asciiTheme="minorHAnsi" w:hAnsiTheme="minorHAnsi" w:cstheme="minorHAnsi"/>
          <w:sz w:val="22"/>
          <w:szCs w:val="22"/>
          <w:lang w:val="sr-Cyrl-CS"/>
        </w:rPr>
        <w:t>години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CS"/>
        </w:rPr>
        <w:t>обрачунавате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складу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Правилником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о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платама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накнадама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запослених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Комисији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концесије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Републике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Српске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CS"/>
        </w:rPr>
        <w:t>на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који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је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Влада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Републике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Српске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дала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сагласност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r-Cyrl-CS"/>
        </w:rPr>
        <w:t>Укупни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трошкови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бруто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плате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накнаде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запослених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2015. </w:t>
      </w:r>
      <w:r>
        <w:rPr>
          <w:rFonts w:asciiTheme="minorHAnsi" w:hAnsiTheme="minorHAnsi" w:cstheme="minorHAnsi"/>
          <w:sz w:val="22"/>
          <w:szCs w:val="22"/>
          <w:lang w:val="sr-Cyrl-CS"/>
        </w:rPr>
        <w:t>години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износе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657.321,45 </w:t>
      </w:r>
      <w:r>
        <w:rPr>
          <w:rFonts w:asciiTheme="minorHAnsi" w:hAnsiTheme="minorHAnsi" w:cstheme="minorHAnsi"/>
          <w:sz w:val="22"/>
          <w:szCs w:val="22"/>
          <w:lang w:val="sr-Cyrl-CS"/>
        </w:rPr>
        <w:t>КМ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A1431D" w:rsidRPr="008747E8" w:rsidRDefault="00DD65E6" w:rsidP="00A1431D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Структура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по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основу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плата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је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сљедећа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>:</w:t>
      </w:r>
    </w:p>
    <w:p w:rsidR="00A1431D" w:rsidRPr="008747E8" w:rsidRDefault="00DD65E6" w:rsidP="00A1431D">
      <w:pPr>
        <w:numPr>
          <w:ilvl w:val="0"/>
          <w:numId w:val="26"/>
        </w:numPr>
        <w:ind w:left="760" w:hanging="357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Нето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плата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редован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рад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          </w:t>
      </w:r>
      <w:r w:rsidR="0046109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328.288,64 </w:t>
      </w:r>
      <w:r>
        <w:rPr>
          <w:rFonts w:asciiTheme="minorHAnsi" w:hAnsiTheme="minorHAnsi" w:cstheme="minorHAnsi"/>
          <w:sz w:val="22"/>
          <w:szCs w:val="22"/>
          <w:lang w:val="sr-Cyrl-CS"/>
        </w:rPr>
        <w:t>КМ</w:t>
      </w:r>
    </w:p>
    <w:p w:rsidR="00A1431D" w:rsidRPr="008747E8" w:rsidRDefault="00DD65E6" w:rsidP="00A1431D">
      <w:pPr>
        <w:numPr>
          <w:ilvl w:val="0"/>
          <w:numId w:val="26"/>
        </w:numPr>
        <w:ind w:left="760" w:hanging="357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Накнада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плате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породиљско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одсуство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</w:t>
      </w:r>
      <w:r w:rsidR="00C62C52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46109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15.082,17 </w:t>
      </w:r>
      <w:r>
        <w:rPr>
          <w:rFonts w:asciiTheme="minorHAnsi" w:hAnsiTheme="minorHAnsi" w:cstheme="minorHAnsi"/>
          <w:sz w:val="22"/>
          <w:szCs w:val="22"/>
          <w:lang w:val="sr-Cyrl-CS"/>
        </w:rPr>
        <w:t>КМ</w:t>
      </w:r>
    </w:p>
    <w:p w:rsidR="00A1431D" w:rsidRPr="008747E8" w:rsidRDefault="00DD65E6" w:rsidP="00A1431D">
      <w:pPr>
        <w:numPr>
          <w:ilvl w:val="0"/>
          <w:numId w:val="26"/>
        </w:numPr>
        <w:ind w:left="760" w:hanging="357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Накнада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плате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вријеме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боловања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</w:t>
      </w:r>
      <w:r w:rsidR="0046109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4.462,26 </w:t>
      </w:r>
      <w:r>
        <w:rPr>
          <w:rFonts w:asciiTheme="minorHAnsi" w:hAnsiTheme="minorHAnsi" w:cstheme="minorHAnsi"/>
          <w:sz w:val="22"/>
          <w:szCs w:val="22"/>
          <w:lang w:val="sr-Cyrl-CS"/>
        </w:rPr>
        <w:t>КМ</w:t>
      </w:r>
    </w:p>
    <w:p w:rsidR="00A1431D" w:rsidRPr="008747E8" w:rsidRDefault="00DD65E6" w:rsidP="00A1431D">
      <w:pPr>
        <w:numPr>
          <w:ilvl w:val="0"/>
          <w:numId w:val="26"/>
        </w:numPr>
        <w:ind w:left="760" w:hanging="357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Накнада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плате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по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основу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минулог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рада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37.632,66 </w:t>
      </w:r>
      <w:r>
        <w:rPr>
          <w:rFonts w:asciiTheme="minorHAnsi" w:hAnsiTheme="minorHAnsi" w:cstheme="minorHAnsi"/>
          <w:sz w:val="22"/>
          <w:szCs w:val="22"/>
          <w:lang w:val="sr-Cyrl-CS"/>
        </w:rPr>
        <w:t>КМ</w:t>
      </w:r>
    </w:p>
    <w:p w:rsidR="00A1431D" w:rsidRPr="008747E8" w:rsidRDefault="00DD65E6" w:rsidP="00A1431D">
      <w:pPr>
        <w:numPr>
          <w:ilvl w:val="0"/>
          <w:numId w:val="26"/>
        </w:numPr>
        <w:ind w:left="760" w:hanging="357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Расходи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порез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на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плату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               39.273,86 </w:t>
      </w:r>
      <w:r>
        <w:rPr>
          <w:rFonts w:asciiTheme="minorHAnsi" w:hAnsiTheme="minorHAnsi" w:cstheme="minorHAnsi"/>
          <w:sz w:val="22"/>
          <w:szCs w:val="22"/>
          <w:lang w:val="sr-Cyrl-CS"/>
        </w:rPr>
        <w:t>КМ</w:t>
      </w:r>
    </w:p>
    <w:p w:rsidR="00A1431D" w:rsidRPr="008747E8" w:rsidRDefault="00DD65E6" w:rsidP="00A1431D">
      <w:pPr>
        <w:numPr>
          <w:ilvl w:val="0"/>
          <w:numId w:val="26"/>
        </w:numPr>
        <w:ind w:left="760" w:hanging="357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Расходи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допринос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ПИО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        117.278,93 </w:t>
      </w:r>
      <w:r>
        <w:rPr>
          <w:rFonts w:asciiTheme="minorHAnsi" w:hAnsiTheme="minorHAnsi" w:cstheme="minorHAnsi"/>
          <w:sz w:val="22"/>
          <w:szCs w:val="22"/>
          <w:lang w:val="sr-Cyrl-CS"/>
        </w:rPr>
        <w:t>КМ</w:t>
      </w:r>
    </w:p>
    <w:p w:rsidR="00A1431D" w:rsidRPr="008747E8" w:rsidRDefault="00DD65E6" w:rsidP="00A1431D">
      <w:pPr>
        <w:numPr>
          <w:ilvl w:val="0"/>
          <w:numId w:val="26"/>
        </w:numPr>
        <w:ind w:left="760" w:hanging="357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lastRenderedPageBreak/>
        <w:t>Расходи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здравствено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осигурање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</w:t>
      </w:r>
      <w:r w:rsidR="00C62C52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76.072,81 </w:t>
      </w:r>
      <w:r>
        <w:rPr>
          <w:rFonts w:asciiTheme="minorHAnsi" w:hAnsiTheme="minorHAnsi" w:cstheme="minorHAnsi"/>
          <w:sz w:val="22"/>
          <w:szCs w:val="22"/>
          <w:lang w:val="sr-Cyrl-CS"/>
        </w:rPr>
        <w:t>КМ</w:t>
      </w:r>
    </w:p>
    <w:p w:rsidR="00A1431D" w:rsidRPr="008747E8" w:rsidRDefault="00DD65E6" w:rsidP="00A1431D">
      <w:pPr>
        <w:numPr>
          <w:ilvl w:val="0"/>
          <w:numId w:val="26"/>
        </w:numPr>
        <w:ind w:left="760" w:hanging="357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Расходи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допринос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дјечију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заштиту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</w:t>
      </w:r>
      <w:r w:rsidR="00C62C52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9.509,18 </w:t>
      </w:r>
      <w:r>
        <w:rPr>
          <w:rFonts w:asciiTheme="minorHAnsi" w:hAnsiTheme="minorHAnsi" w:cstheme="minorHAnsi"/>
          <w:sz w:val="22"/>
          <w:szCs w:val="22"/>
          <w:lang w:val="sr-Cyrl-CS"/>
        </w:rPr>
        <w:t>КМ</w:t>
      </w:r>
    </w:p>
    <w:p w:rsidR="00A1431D" w:rsidRPr="008747E8" w:rsidRDefault="00DD65E6" w:rsidP="00A1431D">
      <w:pPr>
        <w:numPr>
          <w:ilvl w:val="0"/>
          <w:numId w:val="26"/>
        </w:numPr>
        <w:ind w:left="760" w:hanging="357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Расходи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допринос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осигурање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незапослених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</w:t>
      </w:r>
      <w:r w:rsidR="00C62C52">
        <w:rPr>
          <w:rFonts w:asciiTheme="minorHAnsi" w:hAnsiTheme="minorHAnsi" w:cstheme="minorHAnsi"/>
          <w:sz w:val="22"/>
          <w:szCs w:val="22"/>
          <w:lang w:val="sr-Cyrl-CS"/>
        </w:rPr>
        <w:t xml:space="preserve">  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6.339,40 </w:t>
      </w:r>
      <w:r>
        <w:rPr>
          <w:rFonts w:asciiTheme="minorHAnsi" w:hAnsiTheme="minorHAnsi" w:cstheme="minorHAnsi"/>
          <w:sz w:val="22"/>
          <w:szCs w:val="22"/>
          <w:lang w:val="sr-Cyrl-CS"/>
        </w:rPr>
        <w:t>КМ</w:t>
      </w:r>
    </w:p>
    <w:p w:rsidR="00A1431D" w:rsidRPr="008747E8" w:rsidRDefault="00DD65E6" w:rsidP="00A1431D">
      <w:pPr>
        <w:ind w:left="760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>УКУПНО</w:t>
      </w:r>
      <w:r w:rsidR="00A1431D" w:rsidRPr="008747E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:                                                                                                            </w:t>
      </w:r>
      <w:r w:rsidR="00C62C52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  </w:t>
      </w:r>
      <w:r w:rsidR="00A1431D" w:rsidRPr="008747E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633.939,91 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>КМ</w:t>
      </w:r>
    </w:p>
    <w:p w:rsidR="00A1431D" w:rsidRPr="008747E8" w:rsidRDefault="00DD65E6" w:rsidP="00A1431D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>Расходи</w:t>
      </w:r>
      <w:r w:rsidR="00A1431D" w:rsidRPr="008747E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>за</w:t>
      </w:r>
      <w:r w:rsidR="00A1431D" w:rsidRPr="008747E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>бруто</w:t>
      </w:r>
      <w:r w:rsidR="00A1431D" w:rsidRPr="008747E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>накнаде</w:t>
      </w:r>
      <w:r w:rsidR="00A1431D" w:rsidRPr="008747E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>трошкова</w:t>
      </w:r>
      <w:r w:rsidR="00A1431D" w:rsidRPr="008747E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>и</w:t>
      </w:r>
      <w:r w:rsidR="00A1431D" w:rsidRPr="008747E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>осталих</w:t>
      </w:r>
    </w:p>
    <w:p w:rsidR="00A1431D" w:rsidRPr="008747E8" w:rsidRDefault="00DD65E6" w:rsidP="00A1431D">
      <w:pPr>
        <w:ind w:left="765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>личних</w:t>
      </w:r>
      <w:r w:rsidR="00A1431D" w:rsidRPr="008747E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>примања</w:t>
      </w:r>
      <w:r w:rsidR="00A1431D" w:rsidRPr="008747E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>(</w:t>
      </w:r>
      <w:r w:rsidR="00A1431D" w:rsidRPr="008747E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превоз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посла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на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посао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>,</w:t>
      </w:r>
      <w:r>
        <w:rPr>
          <w:rFonts w:asciiTheme="minorHAnsi" w:hAnsiTheme="minorHAnsi" w:cstheme="minorHAnsi"/>
          <w:sz w:val="22"/>
          <w:szCs w:val="22"/>
          <w:lang w:val="sr-Cyrl-CS"/>
        </w:rPr>
        <w:t>помоћи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>,</w:t>
      </w:r>
    </w:p>
    <w:p w:rsidR="00A1431D" w:rsidRPr="008747E8" w:rsidRDefault="00DD65E6" w:rsidP="00A1431D">
      <w:pPr>
        <w:ind w:left="765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отпремнина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остало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)                                                                                         </w:t>
      </w:r>
      <w:r w:rsidR="00C62C52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A1431D" w:rsidRPr="008747E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23.381,54 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>КМ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</w:t>
      </w:r>
    </w:p>
    <w:p w:rsidR="00A1431D" w:rsidRPr="008747E8" w:rsidRDefault="00A1431D" w:rsidP="00A1431D">
      <w:pPr>
        <w:ind w:left="765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8747E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                  </w:t>
      </w:r>
    </w:p>
    <w:p w:rsidR="00A1431D" w:rsidRPr="008747E8" w:rsidRDefault="00A1431D" w:rsidP="00A1431D">
      <w:pPr>
        <w:ind w:left="765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A1431D" w:rsidRPr="008747E8" w:rsidRDefault="00A1431D" w:rsidP="00A1431D">
      <w:pPr>
        <w:ind w:left="765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A1431D" w:rsidRPr="008747E8" w:rsidRDefault="00A1431D" w:rsidP="00A1431D">
      <w:pPr>
        <w:jc w:val="both"/>
        <w:rPr>
          <w:rFonts w:asciiTheme="majorHAnsi" w:hAnsiTheme="majorHAnsi" w:cstheme="minorHAnsi"/>
          <w:lang w:val="sr-Cyrl-CS"/>
        </w:rPr>
      </w:pPr>
      <w:r w:rsidRPr="008747E8">
        <w:rPr>
          <w:rFonts w:asciiTheme="majorHAnsi" w:hAnsiTheme="majorHAnsi" w:cstheme="minorHAnsi"/>
          <w:lang w:val="sr-Cyrl-CS"/>
        </w:rPr>
        <w:t xml:space="preserve">5.1.3. </w:t>
      </w:r>
      <w:r w:rsidR="00DD65E6">
        <w:rPr>
          <w:rFonts w:asciiTheme="majorHAnsi" w:hAnsiTheme="majorHAnsi" w:cstheme="minorHAnsi"/>
          <w:lang w:val="sr-Cyrl-CS"/>
        </w:rPr>
        <w:t>Трошкови</w:t>
      </w:r>
      <w:r w:rsidRPr="008747E8">
        <w:rPr>
          <w:rFonts w:asciiTheme="majorHAnsi" w:hAnsiTheme="majorHAnsi" w:cstheme="minorHAnsi"/>
          <w:lang w:val="sr-Cyrl-CS"/>
        </w:rPr>
        <w:t xml:space="preserve"> </w:t>
      </w:r>
      <w:r w:rsidR="00DD65E6">
        <w:rPr>
          <w:rFonts w:asciiTheme="majorHAnsi" w:hAnsiTheme="majorHAnsi" w:cstheme="minorHAnsi"/>
          <w:lang w:val="sr-Cyrl-CS"/>
        </w:rPr>
        <w:t>материјала</w:t>
      </w:r>
      <w:r w:rsidRPr="008747E8">
        <w:rPr>
          <w:rFonts w:asciiTheme="majorHAnsi" w:hAnsiTheme="majorHAnsi" w:cstheme="minorHAnsi"/>
          <w:lang w:val="sr-Cyrl-CS"/>
        </w:rPr>
        <w:t xml:space="preserve"> </w:t>
      </w:r>
      <w:r w:rsidR="00DD65E6">
        <w:rPr>
          <w:rFonts w:asciiTheme="majorHAnsi" w:hAnsiTheme="majorHAnsi" w:cstheme="minorHAnsi"/>
          <w:lang w:val="sr-Cyrl-CS"/>
        </w:rPr>
        <w:t>и</w:t>
      </w:r>
      <w:r w:rsidRPr="008747E8">
        <w:rPr>
          <w:rFonts w:asciiTheme="majorHAnsi" w:hAnsiTheme="majorHAnsi" w:cstheme="minorHAnsi"/>
          <w:lang w:val="sr-Cyrl-CS"/>
        </w:rPr>
        <w:t xml:space="preserve"> </w:t>
      </w:r>
      <w:r w:rsidR="00DD65E6">
        <w:rPr>
          <w:rFonts w:asciiTheme="majorHAnsi" w:hAnsiTheme="majorHAnsi" w:cstheme="minorHAnsi"/>
          <w:lang w:val="sr-Cyrl-CS"/>
        </w:rPr>
        <w:t>услуга</w:t>
      </w:r>
    </w:p>
    <w:p w:rsidR="00A1431D" w:rsidRPr="008747E8" w:rsidRDefault="00A1431D" w:rsidP="00A1431D">
      <w:pPr>
        <w:jc w:val="both"/>
        <w:rPr>
          <w:rFonts w:asciiTheme="majorHAnsi" w:hAnsiTheme="majorHAnsi" w:cstheme="minorHAnsi"/>
          <w:lang w:val="sr-Cyrl-CS"/>
        </w:rPr>
      </w:pPr>
    </w:p>
    <w:p w:rsidR="00A1431D" w:rsidRPr="008747E8" w:rsidRDefault="00DD65E6" w:rsidP="00A1431D">
      <w:pPr>
        <w:jc w:val="both"/>
        <w:rPr>
          <w:rFonts w:asciiTheme="minorHAnsi" w:hAnsiTheme="minorHAnsi" w:cstheme="minorHAnsi"/>
          <w:sz w:val="22"/>
          <w:szCs w:val="22"/>
          <w:lang w:val="sr-Latn-BA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Трошкови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материјала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услуга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CS"/>
        </w:rPr>
        <w:t>односно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расходи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по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основу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кориушћења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роба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услуга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2015. </w:t>
      </w:r>
      <w:r>
        <w:rPr>
          <w:rFonts w:asciiTheme="minorHAnsi" w:hAnsiTheme="minorHAnsi" w:cstheme="minorHAnsi"/>
          <w:sz w:val="22"/>
          <w:szCs w:val="22"/>
          <w:lang w:val="sr-Cyrl-CS"/>
        </w:rPr>
        <w:t>години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износе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139.224,77 </w:t>
      </w:r>
      <w:r>
        <w:rPr>
          <w:rFonts w:asciiTheme="minorHAnsi" w:hAnsiTheme="minorHAnsi" w:cstheme="minorHAnsi"/>
          <w:sz w:val="22"/>
          <w:szCs w:val="22"/>
          <w:lang w:val="sr-Cyrl-CS"/>
        </w:rPr>
        <w:t>КМ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мањи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су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односу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на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претходну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годину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35.846,87 </w:t>
      </w:r>
      <w:r>
        <w:rPr>
          <w:rFonts w:asciiTheme="minorHAnsi" w:hAnsiTheme="minorHAnsi" w:cstheme="minorHAnsi"/>
          <w:sz w:val="22"/>
          <w:szCs w:val="22"/>
          <w:lang w:val="sr-Cyrl-CS"/>
        </w:rPr>
        <w:t>КМ</w:t>
      </w:r>
      <w:r w:rsidR="00A1431D" w:rsidRPr="008747E8">
        <w:rPr>
          <w:rFonts w:asciiTheme="minorHAnsi" w:hAnsiTheme="minorHAnsi" w:cstheme="minorHAnsi"/>
          <w:sz w:val="22"/>
          <w:szCs w:val="22"/>
          <w:lang w:val="sr-Latn-BA"/>
        </w:rPr>
        <w:t>.</w:t>
      </w:r>
    </w:p>
    <w:p w:rsidR="00A1431D" w:rsidRPr="008747E8" w:rsidRDefault="00DD65E6" w:rsidP="00A1431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Структура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трошкова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материјала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услуга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у</w:t>
      </w:r>
      <w:r w:rsidR="00A1431D" w:rsidRPr="008747E8">
        <w:rPr>
          <w:rFonts w:asciiTheme="minorHAnsi" w:hAnsiTheme="minorHAnsi" w:cstheme="minorHAnsi"/>
          <w:sz w:val="22"/>
          <w:szCs w:val="22"/>
          <w:lang w:val="sr-Cyrl-BA"/>
        </w:rPr>
        <w:t xml:space="preserve"> 2015. </w:t>
      </w:r>
      <w:r>
        <w:rPr>
          <w:rFonts w:asciiTheme="minorHAnsi" w:hAnsiTheme="minorHAnsi" w:cstheme="minorHAnsi"/>
          <w:sz w:val="22"/>
          <w:szCs w:val="22"/>
          <w:lang w:val="sr-Cyrl-BA"/>
        </w:rPr>
        <w:t>години</w:t>
      </w:r>
      <w:r w:rsidR="00A1431D" w:rsidRPr="008747E8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је</w:t>
      </w:r>
      <w:r w:rsidR="00A1431D" w:rsidRPr="008747E8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била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сљедећа</w:t>
      </w:r>
      <w:r w:rsidR="00A1431D" w:rsidRPr="008747E8">
        <w:rPr>
          <w:rFonts w:asciiTheme="minorHAnsi" w:hAnsiTheme="minorHAnsi" w:cstheme="minorHAnsi"/>
          <w:sz w:val="22"/>
          <w:szCs w:val="22"/>
          <w:lang w:val="sr-Cyrl-BA"/>
        </w:rPr>
        <w:t>:</w:t>
      </w:r>
      <w:r w:rsidR="00A1431D" w:rsidRPr="008747E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A1431D" w:rsidRPr="008747E8" w:rsidRDefault="00A1431D" w:rsidP="00A1431D">
      <w:pPr>
        <w:jc w:val="both"/>
        <w:rPr>
          <w:rFonts w:asciiTheme="minorHAnsi" w:hAnsiTheme="minorHAnsi" w:cstheme="minorHAnsi"/>
          <w:sz w:val="26"/>
          <w:szCs w:val="26"/>
          <w:lang w:val="sr-Cyrl-CS"/>
        </w:rPr>
      </w:pPr>
    </w:p>
    <w:p w:rsidR="00A1431D" w:rsidRPr="008747E8" w:rsidRDefault="00DD65E6" w:rsidP="00A1431D">
      <w:pPr>
        <w:numPr>
          <w:ilvl w:val="0"/>
          <w:numId w:val="27"/>
        </w:numPr>
        <w:spacing w:line="276" w:lineRule="auto"/>
        <w:ind w:left="641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Трошкови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закупа</w:t>
      </w:r>
      <w:r w:rsidR="00A1431D" w:rsidRPr="008747E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</w:t>
      </w:r>
      <w:r w:rsidR="00A1431D" w:rsidRPr="008747E8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                              6.105,50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</w:p>
    <w:p w:rsidR="00A1431D" w:rsidRPr="008747E8" w:rsidRDefault="00DD65E6" w:rsidP="00A1431D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Трошкови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основу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утрошка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енергије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комуналних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>,</w:t>
      </w:r>
    </w:p>
    <w:p w:rsidR="00A1431D" w:rsidRPr="008747E8" w:rsidRDefault="00DD65E6" w:rsidP="00A1431D">
      <w:pPr>
        <w:spacing w:after="120" w:line="276" w:lineRule="auto"/>
        <w:ind w:firstLine="64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комуникационих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транспортних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услуга</w:t>
      </w:r>
      <w:r w:rsidR="00A1431D" w:rsidRPr="008747E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             </w:t>
      </w:r>
      <w:r w:rsidR="00A1431D" w:rsidRPr="008747E8">
        <w:rPr>
          <w:rFonts w:asciiTheme="minorHAnsi" w:eastAsia="Calibri" w:hAnsiTheme="minorHAnsi" w:cstheme="minorHAnsi"/>
          <w:sz w:val="22"/>
          <w:szCs w:val="22"/>
        </w:rPr>
        <w:t xml:space="preserve">                     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</w:t>
      </w:r>
      <w:r w:rsidR="0044098C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15.745,87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</w:p>
    <w:p w:rsidR="00A1431D" w:rsidRPr="008747E8" w:rsidRDefault="00DD65E6" w:rsidP="00A1431D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Трошкови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канцеларијског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материјал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    </w:t>
      </w:r>
      <w:r w:rsidR="00A1431D" w:rsidRPr="008747E8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  </w:t>
      </w:r>
      <w:r w:rsidR="0044098C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9.698,78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</w:p>
    <w:p w:rsidR="00A1431D" w:rsidRPr="008747E8" w:rsidRDefault="00DD65E6" w:rsidP="00A1431D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Трошкови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одржавања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                                                   </w:t>
      </w:r>
      <w:r w:rsidR="00A1431D" w:rsidRPr="008747E8">
        <w:rPr>
          <w:rFonts w:asciiTheme="minorHAnsi" w:eastAsia="Calibri" w:hAnsiTheme="minorHAnsi" w:cstheme="minorHAnsi"/>
          <w:sz w:val="22"/>
          <w:szCs w:val="22"/>
        </w:rPr>
        <w:t xml:space="preserve">            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   </w:t>
      </w:r>
      <w:r w:rsidR="0044098C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20.830,57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</w:p>
    <w:p w:rsidR="00A1431D" w:rsidRPr="008747E8" w:rsidRDefault="00DD65E6" w:rsidP="00A1431D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Расходи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основу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путовања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смјештаја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                </w:t>
      </w:r>
      <w:r w:rsidR="00A1431D" w:rsidRPr="008747E8">
        <w:rPr>
          <w:rFonts w:asciiTheme="minorHAnsi" w:eastAsia="Calibri" w:hAnsiTheme="minorHAnsi" w:cstheme="minorHAnsi"/>
          <w:sz w:val="22"/>
          <w:szCs w:val="22"/>
        </w:rPr>
        <w:t xml:space="preserve">           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   </w:t>
      </w:r>
      <w:r w:rsidR="0044098C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18.282,11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</w:p>
    <w:p w:rsidR="00A1431D" w:rsidRPr="008747E8" w:rsidRDefault="00DD65E6" w:rsidP="00A1431D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Трошкови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нафте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наф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деривата</w:t>
      </w:r>
      <w:r w:rsidR="00A1431D" w:rsidRPr="008747E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                                                       </w:t>
      </w:r>
      <w:r w:rsidR="0044098C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28.267,05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</w:p>
    <w:p w:rsidR="00A1431D" w:rsidRPr="008747E8" w:rsidRDefault="00DD65E6" w:rsidP="00A1431D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Трошкови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услуга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платног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промета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рег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возила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штампање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сл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.)        </w:t>
      </w:r>
      <w:r w:rsidR="0044098C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4.365,98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  <w:r w:rsidR="00A1431D" w:rsidRPr="008747E8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      </w:t>
      </w:r>
    </w:p>
    <w:p w:rsidR="00A1431D" w:rsidRPr="008747E8" w:rsidRDefault="00DD65E6" w:rsidP="00A1431D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Трошкови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за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бруто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накнаде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уговора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дјелу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                                   </w:t>
      </w:r>
      <w:r w:rsidR="0044098C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13.599,19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</w:p>
    <w:p w:rsidR="00A1431D" w:rsidRPr="008747E8" w:rsidRDefault="00DD65E6" w:rsidP="00A1431D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Трошкови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репрезентације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                                      </w:t>
      </w:r>
      <w:r w:rsidR="0044098C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                   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 w:rsidR="00E6190D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5.348,91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</w:p>
    <w:p w:rsidR="00A1431D" w:rsidRPr="008747E8" w:rsidRDefault="00DD65E6" w:rsidP="00A1431D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Трошкови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по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основу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доприноса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који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терете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пословање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                  </w:t>
      </w:r>
      <w:r w:rsidR="00E6190D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 </w:t>
      </w:r>
      <w:r w:rsidR="00A1431D" w:rsidRPr="008747E8">
        <w:rPr>
          <w:rFonts w:asciiTheme="minorHAnsi" w:eastAsia="Calibri" w:hAnsiTheme="minorHAnsi" w:cstheme="minorHAnsi"/>
          <w:sz w:val="22"/>
          <w:szCs w:val="22"/>
          <w:lang w:val="sr-Cyrl-BA"/>
        </w:rPr>
        <w:t xml:space="preserve">  7.550,32 </w:t>
      </w:r>
      <w:r>
        <w:rPr>
          <w:rFonts w:asciiTheme="minorHAnsi" w:eastAsia="Calibri" w:hAnsiTheme="minorHAnsi" w:cstheme="minorHAnsi"/>
          <w:sz w:val="22"/>
          <w:szCs w:val="22"/>
          <w:lang w:val="sr-Cyrl-BA"/>
        </w:rPr>
        <w:t>КМ</w:t>
      </w:r>
    </w:p>
    <w:p w:rsidR="00A1431D" w:rsidRPr="008747E8" w:rsidRDefault="00DD65E6" w:rsidP="00A1431D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val="sr-Cyrl-BA"/>
        </w:rPr>
      </w:pPr>
      <w:r>
        <w:rPr>
          <w:rFonts w:ascii="Calibri" w:eastAsia="Calibri" w:hAnsi="Calibri"/>
          <w:sz w:val="22"/>
          <w:szCs w:val="22"/>
          <w:u w:val="single"/>
          <w:lang w:val="sr-Cyrl-BA"/>
        </w:rPr>
        <w:t>Расходи</w:t>
      </w:r>
      <w:r w:rsidR="00A1431D" w:rsidRPr="008747E8">
        <w:rPr>
          <w:rFonts w:ascii="Calibri" w:eastAsia="Calibri" w:hAnsi="Calibri"/>
          <w:sz w:val="22"/>
          <w:szCs w:val="22"/>
          <w:u w:val="single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u w:val="single"/>
          <w:lang w:val="sr-Cyrl-BA"/>
        </w:rPr>
        <w:t>по</w:t>
      </w:r>
      <w:r w:rsidR="00A1431D" w:rsidRPr="008747E8">
        <w:rPr>
          <w:rFonts w:ascii="Calibri" w:eastAsia="Calibri" w:hAnsi="Calibri"/>
          <w:sz w:val="22"/>
          <w:szCs w:val="22"/>
          <w:u w:val="single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u w:val="single"/>
          <w:lang w:val="sr-Cyrl-BA"/>
        </w:rPr>
        <w:t>основу</w:t>
      </w:r>
      <w:r w:rsidR="00A1431D" w:rsidRPr="008747E8">
        <w:rPr>
          <w:rFonts w:ascii="Calibri" w:eastAsia="Calibri" w:hAnsi="Calibri"/>
          <w:sz w:val="22"/>
          <w:szCs w:val="22"/>
          <w:u w:val="single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u w:val="single"/>
          <w:lang w:val="sr-Cyrl-BA"/>
        </w:rPr>
        <w:t>набавке</w:t>
      </w:r>
      <w:r w:rsidR="00A1431D" w:rsidRPr="008747E8">
        <w:rPr>
          <w:rFonts w:ascii="Calibri" w:eastAsia="Calibri" w:hAnsi="Calibri"/>
          <w:sz w:val="22"/>
          <w:szCs w:val="22"/>
          <w:u w:val="single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u w:val="single"/>
          <w:lang w:val="sr-Cyrl-BA"/>
        </w:rPr>
        <w:t>ауто</w:t>
      </w:r>
      <w:r w:rsidR="00A1431D" w:rsidRPr="008747E8">
        <w:rPr>
          <w:rFonts w:ascii="Calibri" w:eastAsia="Calibri" w:hAnsi="Calibri"/>
          <w:sz w:val="22"/>
          <w:szCs w:val="22"/>
          <w:u w:val="single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u w:val="single"/>
          <w:lang w:val="sr-Cyrl-BA"/>
        </w:rPr>
        <w:t>гума</w:t>
      </w:r>
      <w:r w:rsidR="00A1431D" w:rsidRPr="008747E8">
        <w:rPr>
          <w:rFonts w:ascii="Calibri" w:eastAsia="Calibri" w:hAnsi="Calibri"/>
          <w:sz w:val="22"/>
          <w:szCs w:val="22"/>
          <w:u w:val="single"/>
          <w:lang w:val="sr-Cyrl-BA"/>
        </w:rPr>
        <w:t xml:space="preserve">  (</w:t>
      </w:r>
      <w:r>
        <w:rPr>
          <w:rFonts w:ascii="Calibri" w:eastAsia="Calibri" w:hAnsi="Calibri"/>
          <w:sz w:val="22"/>
          <w:szCs w:val="22"/>
          <w:u w:val="single"/>
          <w:lang w:val="sr-Cyrl-BA"/>
        </w:rPr>
        <w:t>К</w:t>
      </w:r>
      <w:r w:rsidR="00A1431D" w:rsidRPr="008747E8">
        <w:rPr>
          <w:rFonts w:ascii="Calibri" w:eastAsia="Calibri" w:hAnsi="Calibri"/>
          <w:sz w:val="22"/>
          <w:szCs w:val="22"/>
          <w:u w:val="single"/>
          <w:lang w:val="sr-Cyrl-BA"/>
        </w:rPr>
        <w:t>-</w:t>
      </w:r>
      <w:r>
        <w:rPr>
          <w:rFonts w:ascii="Calibri" w:eastAsia="Calibri" w:hAnsi="Calibri"/>
          <w:sz w:val="22"/>
          <w:szCs w:val="22"/>
          <w:u w:val="single"/>
          <w:lang w:val="sr-Cyrl-BA"/>
        </w:rPr>
        <w:t>то</w:t>
      </w:r>
      <w:r w:rsidR="00A1431D" w:rsidRPr="008747E8">
        <w:rPr>
          <w:rFonts w:ascii="Calibri" w:eastAsia="Calibri" w:hAnsi="Calibri"/>
          <w:sz w:val="22"/>
          <w:szCs w:val="22"/>
          <w:u w:val="single"/>
          <w:lang w:val="sr-Cyrl-BA"/>
        </w:rPr>
        <w:t xml:space="preserve"> 4711)                                  </w:t>
      </w:r>
      <w:r w:rsidR="00E6190D">
        <w:rPr>
          <w:rFonts w:ascii="Calibri" w:eastAsia="Calibri" w:hAnsi="Calibri"/>
          <w:sz w:val="22"/>
          <w:szCs w:val="22"/>
          <w:u w:val="single"/>
          <w:lang w:val="sr-Cyrl-BA"/>
        </w:rPr>
        <w:t xml:space="preserve">   </w:t>
      </w:r>
      <w:r w:rsidR="00A1431D" w:rsidRPr="008747E8">
        <w:rPr>
          <w:rFonts w:ascii="Calibri" w:eastAsia="Calibri" w:hAnsi="Calibri"/>
          <w:sz w:val="22"/>
          <w:szCs w:val="22"/>
          <w:u w:val="single"/>
          <w:lang w:val="sr-Cyrl-BA"/>
        </w:rPr>
        <w:t xml:space="preserve"> 9.430,52 </w:t>
      </w:r>
      <w:r>
        <w:rPr>
          <w:rFonts w:ascii="Calibri" w:eastAsia="Calibri" w:hAnsi="Calibri"/>
          <w:sz w:val="22"/>
          <w:szCs w:val="22"/>
          <w:u w:val="single"/>
          <w:lang w:val="sr-Cyrl-BA"/>
        </w:rPr>
        <w:t>КМ</w:t>
      </w:r>
    </w:p>
    <w:p w:rsidR="00A1431D" w:rsidRPr="008747E8" w:rsidRDefault="00DD65E6" w:rsidP="00A1431D">
      <w:pPr>
        <w:spacing w:after="120" w:line="276" w:lineRule="auto"/>
        <w:ind w:left="644"/>
        <w:contextualSpacing/>
        <w:jc w:val="both"/>
        <w:rPr>
          <w:rFonts w:ascii="Calibri" w:eastAsia="Calibri" w:hAnsi="Calibri"/>
          <w:b/>
          <w:sz w:val="22"/>
          <w:szCs w:val="22"/>
          <w:lang w:val="sr-Cyrl-BA"/>
        </w:rPr>
      </w:pPr>
      <w:r>
        <w:rPr>
          <w:rFonts w:ascii="Calibri" w:eastAsia="Calibri" w:hAnsi="Calibri"/>
          <w:b/>
          <w:sz w:val="22"/>
          <w:szCs w:val="22"/>
          <w:lang w:val="sr-Cyrl-BA"/>
        </w:rPr>
        <w:t>УКУПНО</w:t>
      </w:r>
      <w:r w:rsidR="00A1431D" w:rsidRPr="008747E8">
        <w:rPr>
          <w:rFonts w:ascii="Calibri" w:eastAsia="Calibri" w:hAnsi="Calibri"/>
          <w:b/>
          <w:sz w:val="22"/>
          <w:szCs w:val="22"/>
          <w:lang w:val="sr-Cyrl-BA"/>
        </w:rPr>
        <w:t xml:space="preserve">:                                                                            </w:t>
      </w:r>
      <w:r w:rsidR="0044098C">
        <w:rPr>
          <w:rFonts w:ascii="Calibri" w:eastAsia="Calibri" w:hAnsi="Calibri"/>
          <w:b/>
          <w:sz w:val="22"/>
          <w:szCs w:val="22"/>
          <w:lang w:val="sr-Cyrl-BA"/>
        </w:rPr>
        <w:t xml:space="preserve">                             </w:t>
      </w:r>
      <w:r w:rsidR="00A1431D" w:rsidRPr="008747E8">
        <w:rPr>
          <w:rFonts w:ascii="Calibri" w:eastAsia="Calibri" w:hAnsi="Calibri"/>
          <w:b/>
          <w:sz w:val="22"/>
          <w:szCs w:val="22"/>
          <w:lang w:val="sr-Cyrl-BA"/>
        </w:rPr>
        <w:t xml:space="preserve"> 139.224,77 </w:t>
      </w:r>
      <w:r>
        <w:rPr>
          <w:rFonts w:ascii="Calibri" w:eastAsia="Calibri" w:hAnsi="Calibri"/>
          <w:b/>
          <w:sz w:val="22"/>
          <w:szCs w:val="22"/>
          <w:lang w:val="sr-Cyrl-BA"/>
        </w:rPr>
        <w:t>КМ</w:t>
      </w:r>
      <w:r w:rsidR="00A1431D" w:rsidRPr="008747E8">
        <w:rPr>
          <w:rFonts w:ascii="Calibri" w:eastAsia="Calibri" w:hAnsi="Calibri"/>
          <w:b/>
          <w:sz w:val="22"/>
          <w:szCs w:val="22"/>
          <w:lang w:val="sr-Cyrl-BA"/>
        </w:rPr>
        <w:t xml:space="preserve">                                                                                   </w:t>
      </w:r>
    </w:p>
    <w:p w:rsidR="00A1431D" w:rsidRPr="008747E8" w:rsidRDefault="00A1431D" w:rsidP="00A1431D">
      <w:pPr>
        <w:shd w:val="clear" w:color="auto" w:fill="FFFFFF"/>
        <w:jc w:val="both"/>
        <w:rPr>
          <w:rFonts w:asciiTheme="minorHAnsi" w:hAnsiTheme="minorHAnsi"/>
          <w:sz w:val="26"/>
          <w:szCs w:val="26"/>
          <w:lang w:val="sr-Cyrl-CS"/>
        </w:rPr>
      </w:pPr>
    </w:p>
    <w:p w:rsidR="00A1431D" w:rsidRPr="008747E8" w:rsidRDefault="00A1431D" w:rsidP="00A1431D">
      <w:pPr>
        <w:shd w:val="clear" w:color="auto" w:fill="FFFFFF"/>
        <w:jc w:val="both"/>
        <w:rPr>
          <w:rFonts w:asciiTheme="minorHAnsi" w:hAnsiTheme="minorHAnsi"/>
          <w:sz w:val="26"/>
          <w:szCs w:val="26"/>
          <w:lang w:val="sr-Cyrl-CS"/>
        </w:rPr>
      </w:pPr>
    </w:p>
    <w:p w:rsidR="00A1431D" w:rsidRPr="008747E8" w:rsidRDefault="00A1431D" w:rsidP="00A1431D">
      <w:pPr>
        <w:spacing w:after="120"/>
        <w:jc w:val="both"/>
        <w:rPr>
          <w:rFonts w:asciiTheme="majorHAnsi" w:hAnsiTheme="majorHAnsi" w:cs="Calibri"/>
          <w:b/>
          <w:sz w:val="26"/>
          <w:szCs w:val="26"/>
          <w:lang w:val="ru-RU"/>
        </w:rPr>
      </w:pPr>
      <w:bookmarkStart w:id="76" w:name="_Toc418075644"/>
      <w:r w:rsidRPr="008747E8">
        <w:rPr>
          <w:rFonts w:asciiTheme="majorHAnsi" w:hAnsiTheme="majorHAnsi" w:cs="Calibri"/>
          <w:sz w:val="26"/>
          <w:szCs w:val="26"/>
          <w:lang w:val="sr-Cyrl-BA"/>
        </w:rPr>
        <w:t xml:space="preserve">5.2. </w:t>
      </w:r>
      <w:r w:rsidR="00DD65E6">
        <w:rPr>
          <w:rFonts w:asciiTheme="majorHAnsi" w:hAnsiTheme="majorHAnsi" w:cs="Calibri"/>
          <w:sz w:val="26"/>
          <w:szCs w:val="26"/>
          <w:lang w:val="sr-Cyrl-BA"/>
        </w:rPr>
        <w:t>Годишњи</w:t>
      </w:r>
      <w:r w:rsidRPr="008747E8">
        <w:rPr>
          <w:rFonts w:asciiTheme="majorHAnsi" w:hAnsiTheme="majorHAnsi" w:cs="Calibr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 w:cs="Calibri"/>
          <w:sz w:val="26"/>
          <w:szCs w:val="26"/>
          <w:lang w:val="sr-Cyrl-BA"/>
        </w:rPr>
        <w:t>Извјештај</w:t>
      </w:r>
      <w:r w:rsidRPr="008747E8">
        <w:rPr>
          <w:rFonts w:asciiTheme="majorHAnsi" w:hAnsiTheme="majorHAnsi" w:cs="Calibr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 w:cs="Calibri"/>
          <w:sz w:val="26"/>
          <w:szCs w:val="26"/>
          <w:lang w:val="sr-Cyrl-BA"/>
        </w:rPr>
        <w:t>о</w:t>
      </w:r>
      <w:r w:rsidRPr="008747E8">
        <w:rPr>
          <w:rFonts w:asciiTheme="majorHAnsi" w:hAnsiTheme="majorHAnsi" w:cs="Calibr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 w:cs="Calibri"/>
          <w:sz w:val="26"/>
          <w:szCs w:val="26"/>
          <w:lang w:val="sr-Cyrl-BA"/>
        </w:rPr>
        <w:t>извршењу</w:t>
      </w:r>
      <w:r w:rsidRPr="008747E8">
        <w:rPr>
          <w:rFonts w:asciiTheme="majorHAnsi" w:hAnsiTheme="majorHAnsi" w:cs="Calibri"/>
          <w:sz w:val="26"/>
          <w:szCs w:val="26"/>
          <w:lang w:val="sr-Cyrl-BA"/>
        </w:rPr>
        <w:t xml:space="preserve"> </w:t>
      </w:r>
      <w:r w:rsidR="00DD65E6">
        <w:rPr>
          <w:rFonts w:asciiTheme="majorHAnsi" w:hAnsiTheme="majorHAnsi" w:cs="Calibri"/>
          <w:sz w:val="26"/>
          <w:szCs w:val="26"/>
          <w:lang w:val="sr-Cyrl-BA"/>
        </w:rPr>
        <w:t>буџета</w:t>
      </w:r>
      <w:bookmarkEnd w:id="76"/>
    </w:p>
    <w:p w:rsidR="00A1431D" w:rsidRPr="008747E8" w:rsidRDefault="00A1431D" w:rsidP="00A1431D">
      <w:pPr>
        <w:spacing w:after="120" w:line="276" w:lineRule="auto"/>
        <w:jc w:val="both"/>
        <w:rPr>
          <w:rFonts w:asciiTheme="minorHAnsi" w:hAnsiTheme="minorHAnsi"/>
          <w:sz w:val="26"/>
          <w:szCs w:val="26"/>
          <w:lang w:val="sr-Cyrl-CS"/>
        </w:rPr>
      </w:pPr>
    </w:p>
    <w:p w:rsidR="00A1431D" w:rsidRPr="008747E8" w:rsidRDefault="00DD65E6" w:rsidP="00A1431D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sr-Cyrl-BA"/>
        </w:rPr>
      </w:pPr>
      <w:r>
        <w:rPr>
          <w:rFonts w:ascii="Calibri" w:eastAsia="Calibri" w:hAnsi="Calibri"/>
          <w:sz w:val="22"/>
          <w:szCs w:val="22"/>
          <w:lang w:val="sr-Cyrl-BA"/>
        </w:rPr>
        <w:t>Презентација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сасатаваљање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финансијских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извјештаја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Комисије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за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пословну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2015. </w:t>
      </w:r>
      <w:r>
        <w:rPr>
          <w:rFonts w:ascii="Calibri" w:eastAsia="Calibri" w:hAnsi="Calibri"/>
          <w:sz w:val="22"/>
          <w:szCs w:val="22"/>
          <w:lang w:val="sr-Cyrl-BA"/>
        </w:rPr>
        <w:t>годину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прописана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је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чланом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60. </w:t>
      </w:r>
      <w:r>
        <w:rPr>
          <w:rFonts w:ascii="Calibri" w:eastAsia="Calibri" w:hAnsi="Calibri"/>
          <w:sz w:val="22"/>
          <w:szCs w:val="22"/>
          <w:lang w:val="sr-Cyrl-BA"/>
        </w:rPr>
        <w:t>Закона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о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концесијама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Правилником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о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финансијском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извјештавању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за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кориснике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прихода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буџета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Републике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/>
          <w:sz w:val="22"/>
          <w:szCs w:val="22"/>
          <w:lang w:val="sr-Cyrl-BA"/>
        </w:rPr>
        <w:t>општина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/>
          <w:sz w:val="22"/>
          <w:szCs w:val="22"/>
          <w:lang w:val="sr-Cyrl-BA"/>
        </w:rPr>
        <w:t>градова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фондова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. </w:t>
      </w:r>
      <w:r>
        <w:rPr>
          <w:rFonts w:ascii="Calibri" w:eastAsia="Calibri" w:hAnsi="Calibri"/>
          <w:sz w:val="22"/>
          <w:szCs w:val="22"/>
          <w:lang w:val="sr-Cyrl-BA"/>
        </w:rPr>
        <w:t>Буџетски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корисници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обавезни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попунити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доставити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сет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финансијских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извјештаја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које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чине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>:</w:t>
      </w:r>
    </w:p>
    <w:p w:rsidR="00A1431D" w:rsidRPr="008747E8" w:rsidRDefault="00DD65E6" w:rsidP="00A1431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val="sr-Cyrl-BA"/>
        </w:rPr>
      </w:pPr>
      <w:r>
        <w:rPr>
          <w:rFonts w:ascii="Calibri" w:eastAsia="Calibri" w:hAnsi="Calibri"/>
          <w:b/>
          <w:sz w:val="22"/>
          <w:szCs w:val="22"/>
          <w:lang w:val="sr-Cyrl-BA"/>
        </w:rPr>
        <w:t>Образац</w:t>
      </w:r>
      <w:r w:rsidR="00A1431D" w:rsidRPr="008747E8">
        <w:rPr>
          <w:rFonts w:ascii="Calibri" w:eastAsia="Calibri" w:hAnsi="Calibri"/>
          <w:b/>
          <w:sz w:val="22"/>
          <w:szCs w:val="22"/>
          <w:lang w:val="sr-Cyrl-BA"/>
        </w:rPr>
        <w:t xml:space="preserve"> 3</w:t>
      </w:r>
      <w:r>
        <w:rPr>
          <w:rFonts w:ascii="Calibri" w:eastAsia="Calibri" w:hAnsi="Calibri"/>
          <w:b/>
          <w:sz w:val="22"/>
          <w:szCs w:val="22"/>
          <w:lang w:val="sr-Cyrl-BA"/>
        </w:rPr>
        <w:t>б</w:t>
      </w:r>
      <w:r w:rsidR="00A1431D" w:rsidRPr="008747E8">
        <w:rPr>
          <w:rFonts w:ascii="Calibri" w:eastAsia="Calibri" w:hAnsi="Calibri"/>
          <w:b/>
          <w:sz w:val="22"/>
          <w:szCs w:val="22"/>
          <w:lang w:val="sr-Cyrl-BA"/>
        </w:rPr>
        <w:t xml:space="preserve"> –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Преглед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прихода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/>
          <w:sz w:val="22"/>
          <w:szCs w:val="22"/>
          <w:lang w:val="sr-Cyrl-BA"/>
        </w:rPr>
        <w:t>примитака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/>
          <w:sz w:val="22"/>
          <w:szCs w:val="22"/>
          <w:lang w:val="sr-Cyrl-BA"/>
        </w:rPr>
        <w:t>расхода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нето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издатака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за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нефинасијску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имовину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исказаних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ван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ГКТ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;  </w:t>
      </w:r>
    </w:p>
    <w:p w:rsidR="00A1431D" w:rsidRPr="008747E8" w:rsidRDefault="00DD65E6" w:rsidP="00A1431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val="sr-Cyrl-BA"/>
        </w:rPr>
      </w:pPr>
      <w:r>
        <w:rPr>
          <w:rFonts w:ascii="Calibri" w:eastAsia="Calibri" w:hAnsi="Calibri"/>
          <w:b/>
          <w:sz w:val="22"/>
          <w:szCs w:val="22"/>
          <w:lang w:val="sr-Cyrl-BA"/>
        </w:rPr>
        <w:t>Образац</w:t>
      </w:r>
      <w:r w:rsidR="00A1431D" w:rsidRPr="008747E8">
        <w:rPr>
          <w:rFonts w:ascii="Calibri" w:eastAsia="Calibri" w:hAnsi="Calibri"/>
          <w:b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val="sr-Cyrl-BA"/>
        </w:rPr>
        <w:t>б</w:t>
      </w:r>
      <w:r w:rsidR="00A1431D" w:rsidRPr="008747E8">
        <w:rPr>
          <w:rFonts w:ascii="Calibri" w:eastAsia="Calibri" w:hAnsi="Calibri"/>
          <w:b/>
          <w:sz w:val="22"/>
          <w:szCs w:val="22"/>
          <w:lang w:val="sr-Cyrl-BA"/>
        </w:rPr>
        <w:t>4 –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Функционална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класификација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расхода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нето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издатака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за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нефинансијску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имовину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исказаних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ван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ГКТ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>;</w:t>
      </w:r>
    </w:p>
    <w:p w:rsidR="00A1431D" w:rsidRPr="008747E8" w:rsidRDefault="00DD65E6" w:rsidP="00A1431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val="sr-Cyrl-BA"/>
        </w:rPr>
      </w:pPr>
      <w:r>
        <w:rPr>
          <w:rFonts w:ascii="Calibri" w:eastAsia="Calibri" w:hAnsi="Calibri"/>
          <w:b/>
          <w:sz w:val="22"/>
          <w:szCs w:val="22"/>
          <w:lang w:val="sr-Cyrl-BA"/>
        </w:rPr>
        <w:t>Образац</w:t>
      </w:r>
      <w:r w:rsidR="00A1431D" w:rsidRPr="008747E8">
        <w:rPr>
          <w:rFonts w:ascii="Calibri" w:eastAsia="Calibri" w:hAnsi="Calibri"/>
          <w:b/>
          <w:sz w:val="22"/>
          <w:szCs w:val="22"/>
          <w:lang w:val="sr-Cyrl-BA"/>
        </w:rPr>
        <w:t xml:space="preserve"> 5</w:t>
      </w:r>
      <w:r>
        <w:rPr>
          <w:rFonts w:ascii="Calibri" w:eastAsia="Calibri" w:hAnsi="Calibri"/>
          <w:b/>
          <w:sz w:val="22"/>
          <w:szCs w:val="22"/>
          <w:lang w:val="sr-Cyrl-BA"/>
        </w:rPr>
        <w:t>б</w:t>
      </w:r>
      <w:r w:rsidR="00A1431D" w:rsidRPr="008747E8">
        <w:rPr>
          <w:rFonts w:ascii="Calibri" w:eastAsia="Calibri" w:hAnsi="Calibri"/>
          <w:b/>
          <w:sz w:val="22"/>
          <w:szCs w:val="22"/>
          <w:lang w:val="sr-Cyrl-BA"/>
        </w:rPr>
        <w:t xml:space="preserve"> –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Преглед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имовине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/>
          <w:sz w:val="22"/>
          <w:szCs w:val="22"/>
          <w:lang w:val="sr-Cyrl-BA"/>
        </w:rPr>
        <w:t>обавеза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извора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исказаних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ван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ГКТ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>;</w:t>
      </w:r>
    </w:p>
    <w:p w:rsidR="00A1431D" w:rsidRPr="008747E8" w:rsidRDefault="00DD65E6" w:rsidP="00A1431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val="sr-Cyrl-BA"/>
        </w:rPr>
      </w:pPr>
      <w:r>
        <w:rPr>
          <w:rFonts w:ascii="Calibri" w:eastAsia="Calibri" w:hAnsi="Calibri"/>
          <w:b/>
          <w:sz w:val="22"/>
          <w:szCs w:val="22"/>
          <w:lang w:val="sr-Cyrl-BA"/>
        </w:rPr>
        <w:t>Образац</w:t>
      </w:r>
      <w:r w:rsidR="00A1431D" w:rsidRPr="008747E8">
        <w:rPr>
          <w:rFonts w:ascii="Calibri" w:eastAsia="Calibri" w:hAnsi="Calibri"/>
          <w:b/>
          <w:sz w:val="22"/>
          <w:szCs w:val="22"/>
          <w:lang w:val="sr-Cyrl-BA"/>
        </w:rPr>
        <w:t xml:space="preserve"> 6 –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Преглед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новчаних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токова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>;</w:t>
      </w:r>
    </w:p>
    <w:p w:rsidR="00A1431D" w:rsidRPr="008747E8" w:rsidRDefault="00DD65E6" w:rsidP="00A1431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val="sr-Cyrl-BA"/>
        </w:rPr>
      </w:pPr>
      <w:r>
        <w:rPr>
          <w:rFonts w:ascii="Calibri" w:eastAsia="Calibri" w:hAnsi="Calibri"/>
          <w:b/>
          <w:sz w:val="22"/>
          <w:szCs w:val="22"/>
          <w:lang w:val="sr-Cyrl-BA"/>
        </w:rPr>
        <w:t>Образац</w:t>
      </w:r>
      <w:r w:rsidR="00A1431D" w:rsidRPr="008747E8">
        <w:rPr>
          <w:rFonts w:ascii="Calibri" w:eastAsia="Calibri" w:hAnsi="Calibri"/>
          <w:b/>
          <w:sz w:val="22"/>
          <w:szCs w:val="22"/>
          <w:lang w:val="sr-Cyrl-BA"/>
        </w:rPr>
        <w:t xml:space="preserve"> 7 –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Извјештај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о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 </w:t>
      </w:r>
      <w:r>
        <w:rPr>
          <w:rFonts w:ascii="Calibri" w:eastAsia="Calibri" w:hAnsi="Calibri"/>
          <w:sz w:val="22"/>
          <w:szCs w:val="22"/>
          <w:lang w:val="sr-Cyrl-BA"/>
        </w:rPr>
        <w:t>броју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структури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запослених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</w:p>
    <w:p w:rsidR="00A1431D" w:rsidRDefault="00A1431D" w:rsidP="00A1431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val="sr-Cyrl-BA"/>
        </w:rPr>
      </w:pPr>
      <w:r w:rsidRPr="008747E8">
        <w:rPr>
          <w:rFonts w:ascii="Calibri" w:eastAsia="Calibri" w:hAnsi="Calibri"/>
          <w:b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/>
          <w:b/>
          <w:sz w:val="22"/>
          <w:szCs w:val="22"/>
          <w:lang w:val="sr-Cyrl-BA"/>
        </w:rPr>
        <w:t>Ноте</w:t>
      </w:r>
      <w:r w:rsidRPr="008747E8">
        <w:rPr>
          <w:rFonts w:ascii="Calibri" w:eastAsia="Calibri" w:hAnsi="Calibri"/>
          <w:b/>
          <w:sz w:val="22"/>
          <w:szCs w:val="22"/>
          <w:lang w:val="sr-Cyrl-BA"/>
        </w:rPr>
        <w:t xml:space="preserve"> –</w:t>
      </w:r>
      <w:r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/>
          <w:sz w:val="22"/>
          <w:szCs w:val="22"/>
          <w:lang w:val="sr-Cyrl-BA"/>
        </w:rPr>
        <w:t>Напомене</w:t>
      </w:r>
      <w:r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/>
          <w:sz w:val="22"/>
          <w:szCs w:val="22"/>
          <w:lang w:val="sr-Cyrl-BA"/>
        </w:rPr>
        <w:t>уз</w:t>
      </w:r>
      <w:r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/>
          <w:sz w:val="22"/>
          <w:szCs w:val="22"/>
          <w:lang w:val="sr-Cyrl-BA"/>
        </w:rPr>
        <w:t>финансијске</w:t>
      </w:r>
      <w:r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 w:rsidR="00DD65E6">
        <w:rPr>
          <w:rFonts w:ascii="Calibri" w:eastAsia="Calibri" w:hAnsi="Calibri"/>
          <w:sz w:val="22"/>
          <w:szCs w:val="22"/>
          <w:lang w:val="sr-Cyrl-BA"/>
        </w:rPr>
        <w:t>извјештаје</w:t>
      </w:r>
      <w:r w:rsidRPr="008747E8">
        <w:rPr>
          <w:rFonts w:ascii="Calibri" w:eastAsia="Calibri" w:hAnsi="Calibri"/>
          <w:sz w:val="22"/>
          <w:szCs w:val="22"/>
          <w:lang w:val="sr-Cyrl-BA"/>
        </w:rPr>
        <w:t xml:space="preserve">. </w:t>
      </w:r>
    </w:p>
    <w:p w:rsidR="002C17BD" w:rsidRPr="008747E8" w:rsidRDefault="002C17BD" w:rsidP="002C17BD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val="sr-Cyrl-BA"/>
        </w:rPr>
      </w:pPr>
    </w:p>
    <w:p w:rsidR="00A1431D" w:rsidRPr="008747E8" w:rsidRDefault="00DD65E6" w:rsidP="00A1431D">
      <w:pPr>
        <w:jc w:val="both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eastAsia="Calibri" w:hAnsi="Calibri"/>
          <w:sz w:val="22"/>
          <w:szCs w:val="22"/>
          <w:lang w:val="sr-Cyrl-BA"/>
        </w:rPr>
        <w:t>Финансијски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извјештаји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састављени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складу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Законом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о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рачуноводству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ревизији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Републике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Српске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/>
          <w:sz w:val="22"/>
          <w:szCs w:val="22"/>
          <w:lang w:val="sr-Cyrl-BA"/>
        </w:rPr>
        <w:t>Правилником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о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буџетским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класификацијама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/>
          <w:sz w:val="22"/>
          <w:szCs w:val="22"/>
          <w:lang w:val="sr-Cyrl-BA"/>
        </w:rPr>
        <w:t>садржини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рачуна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примјени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контног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плана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за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кориснике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прихода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буџета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Републике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/>
          <w:sz w:val="22"/>
          <w:szCs w:val="22"/>
          <w:lang w:val="sr-Cyrl-BA"/>
        </w:rPr>
        <w:t>општина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/>
          <w:sz w:val="22"/>
          <w:szCs w:val="22"/>
          <w:lang w:val="sr-Cyrl-BA"/>
        </w:rPr>
        <w:t>градова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фондова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/>
          <w:sz w:val="22"/>
          <w:szCs w:val="22"/>
          <w:lang w:val="sr-Cyrl-BA"/>
        </w:rPr>
        <w:t>Правилником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о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финансијском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извјештавању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за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кориснике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прихода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буџета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Републике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/>
          <w:sz w:val="22"/>
          <w:szCs w:val="22"/>
          <w:lang w:val="sr-Cyrl-BA"/>
        </w:rPr>
        <w:t>општина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градова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фондова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/>
          <w:sz w:val="22"/>
          <w:szCs w:val="22"/>
          <w:lang w:val="sr-Cyrl-BA"/>
        </w:rPr>
        <w:t>Међународним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рачуноводственим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стандардима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за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јавни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сектор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одредбама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Закона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обуџетском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систему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Републике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Српске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. </w:t>
      </w:r>
      <w:r>
        <w:rPr>
          <w:rFonts w:ascii="Calibri" w:eastAsia="Calibri" w:hAnsi="Calibri"/>
          <w:sz w:val="22"/>
          <w:szCs w:val="22"/>
          <w:lang w:val="sr-Cyrl-BA"/>
        </w:rPr>
        <w:t>Поред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напријед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наведених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прописа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/>
          <w:sz w:val="22"/>
          <w:szCs w:val="22"/>
          <w:lang w:val="sr-Cyrl-BA"/>
        </w:rPr>
        <w:t>примјењивани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прописи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из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области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пореске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регулативе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интерна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акта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која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регулишу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одређене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области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>.</w:t>
      </w:r>
    </w:p>
    <w:p w:rsidR="00A1431D" w:rsidRPr="008747E8" w:rsidRDefault="00DD65E6" w:rsidP="00A1431D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sr-Cyrl-BA"/>
        </w:rPr>
      </w:pPr>
      <w:r>
        <w:rPr>
          <w:rFonts w:ascii="Calibri" w:eastAsia="Calibri" w:hAnsi="Calibri"/>
          <w:sz w:val="22"/>
          <w:szCs w:val="22"/>
          <w:lang w:val="sr-Cyrl-BA"/>
        </w:rPr>
        <w:t>Подаци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финансијским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извјештајима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изражени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Конвертибилним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маркама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(</w:t>
      </w:r>
      <w:r>
        <w:rPr>
          <w:rFonts w:ascii="Calibri" w:eastAsia="Calibri" w:hAnsi="Calibri"/>
          <w:sz w:val="22"/>
          <w:szCs w:val="22"/>
          <w:lang w:val="sr-Cyrl-BA"/>
        </w:rPr>
        <w:t>КМ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>).</w:t>
      </w:r>
    </w:p>
    <w:p w:rsidR="00A1431D" w:rsidRPr="008747E8" w:rsidRDefault="00DD65E6" w:rsidP="00A1431D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sr-Cyrl-BA"/>
        </w:rPr>
      </w:pPr>
      <w:r>
        <w:rPr>
          <w:rFonts w:ascii="Calibri" w:eastAsia="Calibri" w:hAnsi="Calibri"/>
          <w:sz w:val="22"/>
          <w:szCs w:val="22"/>
          <w:lang w:val="sr-Cyrl-BA"/>
        </w:rPr>
        <w:t>Финансијски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извјештај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/>
          <w:sz w:val="22"/>
          <w:szCs w:val="22"/>
          <w:lang w:val="sr-Cyrl-BA"/>
        </w:rPr>
        <w:t>као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потребна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образложења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уз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исти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достављени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законском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року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надлаежним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органима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Републике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Српске</w:t>
      </w:r>
      <w:r w:rsidR="00A1431D" w:rsidRPr="008747E8">
        <w:rPr>
          <w:rFonts w:ascii="Calibri" w:eastAsia="Calibri" w:hAnsi="Calibri"/>
          <w:sz w:val="22"/>
          <w:szCs w:val="22"/>
          <w:lang w:val="sr-Cyrl-BA"/>
        </w:rPr>
        <w:t>.</w:t>
      </w:r>
    </w:p>
    <w:p w:rsidR="00D42A46" w:rsidRPr="007F3DE0" w:rsidRDefault="00D42A46" w:rsidP="00DD3E07">
      <w:pPr>
        <w:spacing w:line="276" w:lineRule="auto"/>
        <w:rPr>
          <w:rFonts w:asciiTheme="majorHAnsi" w:hAnsiTheme="majorHAnsi"/>
          <w:b/>
          <w:bCs/>
          <w:sz w:val="26"/>
          <w:szCs w:val="26"/>
          <w:lang w:val="sr-Latn-BA"/>
        </w:rPr>
      </w:pPr>
    </w:p>
    <w:p w:rsidR="00025462" w:rsidRDefault="00486B82" w:rsidP="00B37FDF">
      <w:pPr>
        <w:pStyle w:val="Heading1"/>
      </w:pPr>
      <w:bookmarkStart w:id="77" w:name="_Toc418075645"/>
      <w:bookmarkStart w:id="78" w:name="_Toc449404350"/>
      <w:r w:rsidRPr="00025462">
        <w:t xml:space="preserve">6. </w:t>
      </w:r>
      <w:r w:rsidR="00DD65E6">
        <w:t>ОСТАЛЕ</w:t>
      </w:r>
      <w:r w:rsidRPr="00025462">
        <w:t xml:space="preserve"> </w:t>
      </w:r>
      <w:r w:rsidR="00DD65E6">
        <w:t>АКТИВНОСТИ</w:t>
      </w:r>
      <w:r w:rsidRPr="00025462">
        <w:t xml:space="preserve"> </w:t>
      </w:r>
      <w:r w:rsidR="00DD65E6">
        <w:t>КОМИСИЈЕ</w:t>
      </w:r>
      <w:r w:rsidRPr="00025462">
        <w:t xml:space="preserve"> </w:t>
      </w:r>
      <w:r w:rsidR="00DD65E6">
        <w:t>ЗА</w:t>
      </w:r>
      <w:r w:rsidRPr="00025462">
        <w:t xml:space="preserve"> </w:t>
      </w:r>
      <w:r w:rsidR="00DD65E6">
        <w:t>КОНЦЕСИЈЕ</w:t>
      </w:r>
      <w:r w:rsidRPr="00025462">
        <w:t xml:space="preserve"> </w:t>
      </w:r>
      <w:r w:rsidR="00DD65E6">
        <w:t>РЕПУБЛИКЕ</w:t>
      </w:r>
      <w:r w:rsidRPr="00025462">
        <w:t xml:space="preserve"> </w:t>
      </w:r>
      <w:r w:rsidR="00DD65E6">
        <w:t>СРПСКЕ</w:t>
      </w:r>
      <w:bookmarkEnd w:id="77"/>
      <w:bookmarkEnd w:id="78"/>
    </w:p>
    <w:p w:rsidR="00486B82" w:rsidRDefault="00025462" w:rsidP="00B37FDF">
      <w:pPr>
        <w:pStyle w:val="Heading2"/>
        <w:rPr>
          <w:lang w:val="sr-Cyrl-BA"/>
        </w:rPr>
      </w:pPr>
      <w:bookmarkStart w:id="79" w:name="_Toc418075646"/>
      <w:bookmarkStart w:id="80" w:name="_Toc449404351"/>
      <w:r>
        <w:t xml:space="preserve">6.1. </w:t>
      </w:r>
      <w:r w:rsidR="00DD65E6">
        <w:t>Однос</w:t>
      </w:r>
      <w:r w:rsidR="00486B82" w:rsidRPr="00025462">
        <w:t xml:space="preserve"> </w:t>
      </w:r>
      <w:r w:rsidR="00DD65E6">
        <w:t>Комисије</w:t>
      </w:r>
      <w:r w:rsidR="00486B82" w:rsidRPr="00025462">
        <w:t xml:space="preserve"> </w:t>
      </w:r>
      <w:r w:rsidR="00DD65E6">
        <w:t>са</w:t>
      </w:r>
      <w:r w:rsidR="00486B82" w:rsidRPr="00025462">
        <w:t xml:space="preserve"> </w:t>
      </w:r>
      <w:r w:rsidR="00DD65E6">
        <w:t>другим</w:t>
      </w:r>
      <w:r w:rsidR="00486B82" w:rsidRPr="00025462">
        <w:t xml:space="preserve"> </w:t>
      </w:r>
      <w:r w:rsidR="00DD65E6">
        <w:t>органима</w:t>
      </w:r>
      <w:r w:rsidR="00486B82" w:rsidRPr="00025462">
        <w:t xml:space="preserve"> </w:t>
      </w:r>
      <w:r w:rsidR="00DD65E6">
        <w:t>у</w:t>
      </w:r>
      <w:r w:rsidR="00486B82" w:rsidRPr="00025462">
        <w:t xml:space="preserve"> </w:t>
      </w:r>
      <w:r w:rsidR="00DD65E6">
        <w:t>Републици</w:t>
      </w:r>
      <w:r w:rsidR="00486B82" w:rsidRPr="00025462">
        <w:t xml:space="preserve"> </w:t>
      </w:r>
      <w:r w:rsidR="00DD65E6">
        <w:t>Српској</w:t>
      </w:r>
      <w:bookmarkEnd w:id="79"/>
      <w:bookmarkEnd w:id="80"/>
    </w:p>
    <w:p w:rsidR="002C17BD" w:rsidRPr="002C17BD" w:rsidRDefault="002C17BD" w:rsidP="002C17BD">
      <w:pPr>
        <w:rPr>
          <w:lang w:val="sr-Cyrl-BA"/>
        </w:rPr>
      </w:pPr>
    </w:p>
    <w:p w:rsidR="00435649" w:rsidRPr="007F3DE0" w:rsidRDefault="00DD65E6" w:rsidP="00150094">
      <w:pPr>
        <w:spacing w:after="120"/>
        <w:jc w:val="both"/>
        <w:rPr>
          <w:rFonts w:ascii="Calibri" w:eastAsia="Calibri" w:hAnsi="Calibri"/>
          <w:sz w:val="22"/>
          <w:szCs w:val="22"/>
          <w:lang w:val="sr-Cyrl-BA"/>
        </w:rPr>
      </w:pPr>
      <w:r>
        <w:rPr>
          <w:rFonts w:ascii="Calibri" w:eastAsia="Calibri" w:hAnsi="Calibri"/>
          <w:sz w:val="22"/>
          <w:szCs w:val="22"/>
        </w:rPr>
        <w:t>У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оквиру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својих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надлежности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Комисија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као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самостално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и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независно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регулаторно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тијело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промовише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привредне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и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друге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могућности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за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улагање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путем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концесија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у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циљу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задовољавања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јавних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потреба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и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привредног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развоја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, </w:t>
      </w:r>
      <w:r>
        <w:rPr>
          <w:rFonts w:ascii="Calibri" w:eastAsia="Calibri" w:hAnsi="Calibri"/>
          <w:sz w:val="22"/>
          <w:szCs w:val="22"/>
        </w:rPr>
        <w:t>те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је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у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том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правцу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у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току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овог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извјештајног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периода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остварила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многобројне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односе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како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на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локалном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тако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и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на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републичком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нивоу</w:t>
      </w:r>
      <w:r w:rsidR="00435649" w:rsidRPr="00FE1D96">
        <w:rPr>
          <w:rFonts w:ascii="Calibri" w:eastAsia="Calibri" w:hAnsi="Calibri"/>
          <w:sz w:val="22"/>
          <w:szCs w:val="22"/>
        </w:rPr>
        <w:t xml:space="preserve">. </w:t>
      </w:r>
      <w:r>
        <w:rPr>
          <w:rFonts w:ascii="Calibri" w:eastAsia="Calibri" w:hAnsi="Calibri"/>
          <w:sz w:val="22"/>
          <w:szCs w:val="22"/>
        </w:rPr>
        <w:t>Истиче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се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сарадња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са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Народном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скупштином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Републике</w:t>
      </w:r>
      <w:r w:rsidR="00435649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Српске</w:t>
      </w:r>
      <w:r w:rsidR="0087215C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</w:rPr>
        <w:t>заснована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на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законској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обавези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подношења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годишњег</w:t>
      </w:r>
      <w:r w:rsidR="00AB7644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извјештаја</w:t>
      </w:r>
      <w:r w:rsidR="00AB7644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о</w:t>
      </w:r>
      <w:r w:rsidR="00AB7644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свом</w:t>
      </w:r>
      <w:r w:rsidR="00AB7644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раду</w:t>
      </w:r>
      <w:r w:rsidR="00AB7644" w:rsidRPr="007F3DE0">
        <w:rPr>
          <w:rFonts w:ascii="Calibri" w:eastAsia="Calibri" w:hAnsi="Calibri"/>
          <w:sz w:val="22"/>
          <w:szCs w:val="22"/>
          <w:lang w:val="sr-Cyrl-BA"/>
        </w:rPr>
        <w:t xml:space="preserve">, </w:t>
      </w:r>
      <w:r>
        <w:rPr>
          <w:rFonts w:ascii="Calibri" w:eastAsia="Calibri" w:hAnsi="Calibri"/>
          <w:sz w:val="22"/>
          <w:szCs w:val="22"/>
          <w:lang w:val="sr-Cyrl-BA"/>
        </w:rPr>
        <w:t>нарочито</w:t>
      </w:r>
      <w:r w:rsidR="00AB7644" w:rsidRPr="007F3DE0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ради</w:t>
      </w:r>
      <w:r w:rsidR="00AB7644" w:rsidRPr="007F3DE0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именовања</w:t>
      </w:r>
      <w:r w:rsidR="00AB7644" w:rsidRPr="007F3DE0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Новог</w:t>
      </w:r>
      <w:r w:rsidR="00AB7644" w:rsidRPr="007F3DE0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сазива</w:t>
      </w:r>
      <w:r w:rsidR="00AB7644" w:rsidRPr="007F3DE0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Комисије</w:t>
      </w:r>
      <w:r w:rsidR="00AB7644" w:rsidRPr="007F3DE0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за</w:t>
      </w:r>
      <w:r w:rsidR="00AB7644" w:rsidRPr="007F3DE0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концесије</w:t>
      </w:r>
      <w:r w:rsidR="00AB7644" w:rsidRPr="007F3DE0">
        <w:rPr>
          <w:rFonts w:ascii="Calibri" w:eastAsia="Calibri" w:hAnsi="Calibri"/>
          <w:sz w:val="22"/>
          <w:szCs w:val="22"/>
          <w:lang w:val="sr-Cyrl-BA"/>
        </w:rPr>
        <w:t>.</w:t>
      </w:r>
    </w:p>
    <w:p w:rsidR="00435649" w:rsidRPr="00FE1D96" w:rsidRDefault="00DD65E6" w:rsidP="00150094">
      <w:pPr>
        <w:spacing w:after="12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Комисија</w:t>
      </w:r>
      <w:r w:rsidR="00435649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има</w:t>
      </w:r>
      <w:r w:rsidR="00435649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обавезу</w:t>
      </w:r>
      <w:r w:rsidR="000E641C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да</w:t>
      </w:r>
      <w:r w:rsidR="000E641C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кроз</w:t>
      </w:r>
      <w:r w:rsidR="000E641C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законом</w:t>
      </w:r>
      <w:r w:rsidR="000E641C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прописане</w:t>
      </w:r>
      <w:r w:rsidR="000E641C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процедуре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доставља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Приједлог</w:t>
      </w:r>
      <w:r w:rsidR="00CD3B90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</w:rPr>
        <w:t>најповољнијег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понуђача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Влади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Републике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Српске</w:t>
      </w:r>
      <w:r w:rsidR="00DA496D">
        <w:rPr>
          <w:rFonts w:ascii="Calibri" w:eastAsia="Calibri" w:hAnsi="Calibri"/>
          <w:sz w:val="22"/>
          <w:szCs w:val="22"/>
          <w:lang w:val="sr-Cyrl-BA"/>
        </w:rPr>
        <w:t>.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Т</w:t>
      </w:r>
      <w:r>
        <w:rPr>
          <w:rFonts w:ascii="Calibri" w:eastAsia="Calibri" w:hAnsi="Calibri"/>
          <w:sz w:val="22"/>
          <w:szCs w:val="22"/>
          <w:lang w:val="sr-Cyrl-BA"/>
        </w:rPr>
        <w:t>ада</w:t>
      </w:r>
      <w:r w:rsidR="00DA496D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</w:rPr>
        <w:t>Комисија</w:t>
      </w:r>
      <w:r w:rsidR="001E52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извјештава</w:t>
      </w:r>
      <w:r w:rsidR="00DA496D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Владу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о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проведен</w:t>
      </w:r>
      <w:r>
        <w:rPr>
          <w:rFonts w:ascii="Calibri" w:eastAsia="Calibri" w:hAnsi="Calibri"/>
          <w:sz w:val="22"/>
          <w:szCs w:val="22"/>
          <w:lang w:val="sr-Cyrl-BA"/>
        </w:rPr>
        <w:t>и</w:t>
      </w:r>
      <w:r>
        <w:rPr>
          <w:rFonts w:ascii="Calibri" w:eastAsia="Calibri" w:hAnsi="Calibri"/>
          <w:sz w:val="22"/>
          <w:szCs w:val="22"/>
        </w:rPr>
        <w:t>м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законским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процедурама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и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елементима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који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су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је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опредјелили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за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пр</w:t>
      </w:r>
      <w:r>
        <w:rPr>
          <w:rFonts w:ascii="Calibri" w:eastAsia="Calibri" w:hAnsi="Calibri"/>
          <w:sz w:val="22"/>
          <w:szCs w:val="22"/>
          <w:lang w:val="sr-Cyrl-BA"/>
        </w:rPr>
        <w:t>иј</w:t>
      </w:r>
      <w:r>
        <w:rPr>
          <w:rFonts w:ascii="Calibri" w:eastAsia="Calibri" w:hAnsi="Calibri"/>
          <w:sz w:val="22"/>
          <w:szCs w:val="22"/>
        </w:rPr>
        <w:t>едлог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најповољнијег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понуђача</w:t>
      </w:r>
      <w:r w:rsidR="00435649" w:rsidRPr="00FE1D96">
        <w:rPr>
          <w:rFonts w:ascii="Calibri" w:eastAsia="Calibri" w:hAnsi="Calibri"/>
          <w:sz w:val="22"/>
          <w:szCs w:val="22"/>
        </w:rPr>
        <w:t>.</w:t>
      </w:r>
      <w:r w:rsidR="00435649" w:rsidRPr="009C16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Нарочита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комуникација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је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остварена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Министарством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индустрије</w:t>
      </w:r>
      <w:r w:rsidR="0043564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енергетике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рударства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Министарством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пољопривреде</w:t>
      </w:r>
      <w:r w:rsidR="0043564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шумарства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водопривреде</w:t>
      </w:r>
      <w:r w:rsidR="006B24E1">
        <w:rPr>
          <w:rFonts w:asciiTheme="minorHAnsi" w:hAnsiTheme="minorHAnsi"/>
          <w:sz w:val="22"/>
          <w:szCs w:val="22"/>
          <w:lang w:val="sr-Cyrl-BA"/>
        </w:rPr>
        <w:t>,</w:t>
      </w:r>
      <w:r w:rsidR="006B24E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кроз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утврђивање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релевантних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законских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основа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за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поједине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поступке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унутар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Закона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концесијама</w:t>
      </w:r>
      <w:r w:rsidR="00FC3BA5">
        <w:rPr>
          <w:rFonts w:asciiTheme="minorHAnsi" w:hAnsiTheme="minorHAnsi"/>
          <w:sz w:val="22"/>
          <w:szCs w:val="22"/>
          <w:lang w:val="sr-Cyrl-BA"/>
        </w:rPr>
        <w:t>.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Комисија</w:t>
      </w:r>
      <w:r w:rsidR="00C20DB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</w:t>
      </w:r>
      <w:r w:rsidR="00C20DB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позив</w:t>
      </w:r>
      <w:r w:rsidR="00C20DB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надлежног</w:t>
      </w:r>
      <w:r w:rsidR="00C20DB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</w:t>
      </w:r>
      <w:r>
        <w:rPr>
          <w:rFonts w:asciiTheme="minorHAnsi" w:hAnsiTheme="minorHAnsi"/>
          <w:sz w:val="22"/>
          <w:szCs w:val="22"/>
        </w:rPr>
        <w:t>инистарства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посред</w:t>
      </w:r>
      <w:r>
        <w:rPr>
          <w:rFonts w:asciiTheme="minorHAnsi" w:hAnsiTheme="minorHAnsi"/>
          <w:sz w:val="22"/>
          <w:szCs w:val="22"/>
          <w:lang w:val="sr-Cyrl-BA"/>
        </w:rPr>
        <w:t>ује</w:t>
      </w:r>
      <w:r w:rsidR="00FA5941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поступку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арбитраже</w:t>
      </w:r>
      <w:r w:rsidR="0043564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="Calibri" w:eastAsia="Calibri" w:hAnsi="Calibri"/>
          <w:sz w:val="22"/>
          <w:szCs w:val="22"/>
        </w:rPr>
        <w:t>Однос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Комисије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према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ресорним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министарствима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заснован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је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на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функционалној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надлежности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ресорних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министарства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као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Концедената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с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једне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стране</w:t>
      </w:r>
      <w:r w:rsidR="003936E8">
        <w:rPr>
          <w:rFonts w:ascii="Calibri" w:eastAsia="Calibri" w:hAnsi="Calibri"/>
          <w:sz w:val="22"/>
          <w:szCs w:val="22"/>
          <w:lang w:val="sr-Cyrl-BA"/>
        </w:rPr>
        <w:t>,</w:t>
      </w:r>
      <w:r w:rsidR="0041748D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и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Комисије</w:t>
      </w:r>
      <w:r w:rsidR="00104F6F">
        <w:rPr>
          <w:rFonts w:ascii="Calibri" w:eastAsia="Calibri" w:hAnsi="Calibri"/>
          <w:sz w:val="22"/>
          <w:szCs w:val="22"/>
          <w:lang w:val="sr-Cyrl-BA"/>
        </w:rPr>
        <w:t>,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као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регулатора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с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друге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стране</w:t>
      </w:r>
      <w:r w:rsidR="00435649" w:rsidRPr="00FE1D96">
        <w:rPr>
          <w:rFonts w:ascii="Calibri" w:eastAsia="Calibri" w:hAnsi="Calibri"/>
          <w:sz w:val="22"/>
          <w:szCs w:val="22"/>
        </w:rPr>
        <w:t>.</w:t>
      </w:r>
    </w:p>
    <w:p w:rsidR="00435649" w:rsidRPr="00563111" w:rsidRDefault="00DD65E6" w:rsidP="00563111">
      <w:pPr>
        <w:spacing w:after="120"/>
        <w:jc w:val="both"/>
        <w:rPr>
          <w:rFonts w:ascii="Calibri" w:eastAsia="Calibri" w:hAnsi="Calibri"/>
          <w:sz w:val="22"/>
          <w:szCs w:val="22"/>
          <w:lang w:val="sr-Cyrl-BA"/>
        </w:rPr>
      </w:pPr>
      <w:r>
        <w:rPr>
          <w:rFonts w:ascii="Calibri" w:eastAsia="Calibri" w:hAnsi="Calibri"/>
          <w:sz w:val="22"/>
          <w:szCs w:val="22"/>
        </w:rPr>
        <w:t>У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оквиру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Закона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о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концесијама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Комисија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остварује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однос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с</w:t>
      </w:r>
      <w:r>
        <w:rPr>
          <w:rFonts w:ascii="Calibri" w:eastAsia="Calibri" w:hAnsi="Calibri"/>
          <w:sz w:val="22"/>
          <w:szCs w:val="22"/>
          <w:lang w:val="sr-Cyrl-BA"/>
        </w:rPr>
        <w:t>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јединицама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локалне</w:t>
      </w:r>
      <w:r w:rsidR="00F40E2B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заједнице</w:t>
      </w:r>
      <w:r w:rsidR="00B179A7">
        <w:rPr>
          <w:rFonts w:ascii="Calibri" w:eastAsia="Calibri" w:hAnsi="Calibri"/>
          <w:sz w:val="22"/>
          <w:szCs w:val="22"/>
          <w:lang w:val="sr-Cyrl-BA"/>
        </w:rPr>
        <w:t>,</w:t>
      </w:r>
      <w:r w:rsidR="00E554E7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</w:rPr>
        <w:t>као</w:t>
      </w:r>
      <w:r w:rsidR="00F40E2B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Концедентом</w:t>
      </w:r>
      <w:r w:rsidR="00B179A7">
        <w:rPr>
          <w:rFonts w:ascii="Calibri" w:eastAsia="Calibri" w:hAnsi="Calibri"/>
          <w:sz w:val="22"/>
          <w:szCs w:val="22"/>
          <w:lang w:val="sr-Cyrl-BA"/>
        </w:rPr>
        <w:t>,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приликом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додј</w:t>
      </w:r>
      <w:r>
        <w:rPr>
          <w:rFonts w:ascii="Calibri" w:eastAsia="Calibri" w:hAnsi="Calibri"/>
          <w:sz w:val="22"/>
          <w:szCs w:val="22"/>
          <w:lang w:val="sr-Cyrl-BA"/>
        </w:rPr>
        <w:t>е</w:t>
      </w:r>
      <w:r>
        <w:rPr>
          <w:rFonts w:ascii="Calibri" w:eastAsia="Calibri" w:hAnsi="Calibri"/>
          <w:sz w:val="22"/>
          <w:szCs w:val="22"/>
        </w:rPr>
        <w:t>ле</w:t>
      </w:r>
      <w:r w:rsidR="00435649" w:rsidRPr="00FE1D9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концесиј</w:t>
      </w:r>
      <w:r>
        <w:rPr>
          <w:rFonts w:ascii="Calibri" w:eastAsia="Calibri" w:hAnsi="Calibri"/>
          <w:sz w:val="22"/>
          <w:szCs w:val="22"/>
          <w:lang w:val="sr-Cyrl-BA"/>
        </w:rPr>
        <w:t>а</w:t>
      </w:r>
      <w:r w:rsidR="00E554E7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у</w:t>
      </w:r>
      <w:r w:rsidR="00E554E7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области</w:t>
      </w:r>
      <w:r w:rsidR="00E554E7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комуналне</w:t>
      </w:r>
      <w:r w:rsidR="00E554E7">
        <w:rPr>
          <w:rFonts w:ascii="Calibri" w:eastAsia="Calibri" w:hAnsi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/>
          <w:sz w:val="22"/>
          <w:szCs w:val="22"/>
          <w:lang w:val="sr-Cyrl-BA"/>
        </w:rPr>
        <w:t>инфраструктуре</w:t>
      </w:r>
      <w:r w:rsidR="00E554E7">
        <w:rPr>
          <w:rFonts w:ascii="Calibri" w:eastAsia="Calibri" w:hAnsi="Calibri"/>
          <w:sz w:val="22"/>
          <w:szCs w:val="22"/>
          <w:lang w:val="sr-Cyrl-BA"/>
        </w:rPr>
        <w:t>.</w:t>
      </w:r>
    </w:p>
    <w:p w:rsidR="00435649" w:rsidRPr="00563111" w:rsidRDefault="00435649" w:rsidP="00563111">
      <w:pPr>
        <w:pStyle w:val="Heading2"/>
        <w:rPr>
          <w:lang w:val="sr-Cyrl-BA"/>
        </w:rPr>
      </w:pPr>
      <w:bookmarkStart w:id="81" w:name="_Toc418075647"/>
      <w:bookmarkStart w:id="82" w:name="_Toc449404352"/>
      <w:r w:rsidRPr="007F3DE0">
        <w:t xml:space="preserve">6.2. </w:t>
      </w:r>
      <w:r w:rsidR="00DD65E6">
        <w:t>Сарадња</w:t>
      </w:r>
      <w:r w:rsidRPr="007F3DE0">
        <w:t xml:space="preserve"> </w:t>
      </w:r>
      <w:r w:rsidR="00DD65E6">
        <w:t>са</w:t>
      </w:r>
      <w:r w:rsidRPr="007F3DE0">
        <w:t xml:space="preserve"> </w:t>
      </w:r>
      <w:r w:rsidR="00DD65E6">
        <w:t>домаћим</w:t>
      </w:r>
      <w:r w:rsidRPr="007F3DE0">
        <w:t xml:space="preserve"> </w:t>
      </w:r>
      <w:r w:rsidR="00DD65E6">
        <w:t>и</w:t>
      </w:r>
      <w:r w:rsidRPr="007F3DE0">
        <w:t xml:space="preserve"> </w:t>
      </w:r>
      <w:r w:rsidR="00DD65E6">
        <w:t>страним</w:t>
      </w:r>
      <w:r w:rsidRPr="007F3DE0">
        <w:t xml:space="preserve"> </w:t>
      </w:r>
      <w:r w:rsidR="00DD65E6">
        <w:t>институцијама</w:t>
      </w:r>
      <w:bookmarkEnd w:id="81"/>
      <w:bookmarkEnd w:id="82"/>
    </w:p>
    <w:p w:rsidR="00435649" w:rsidRDefault="00DD65E6" w:rsidP="00150094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току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Изв</w:t>
      </w:r>
      <w:r>
        <w:rPr>
          <w:rFonts w:asciiTheme="minorHAnsi" w:hAnsiTheme="minorHAnsi"/>
          <w:sz w:val="22"/>
          <w:szCs w:val="22"/>
          <w:lang w:val="sr-Cyrl-BA"/>
        </w:rPr>
        <w:t>ј</w:t>
      </w:r>
      <w:r>
        <w:rPr>
          <w:rFonts w:asciiTheme="minorHAnsi" w:hAnsiTheme="minorHAnsi"/>
          <w:sz w:val="22"/>
          <w:szCs w:val="22"/>
        </w:rPr>
        <w:t>ештајног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периода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за</w:t>
      </w:r>
      <w:r w:rsidR="00435649">
        <w:rPr>
          <w:rFonts w:asciiTheme="minorHAnsi" w:hAnsiTheme="minorHAnsi"/>
          <w:sz w:val="22"/>
          <w:szCs w:val="22"/>
        </w:rPr>
        <w:t xml:space="preserve"> 201</w:t>
      </w:r>
      <w:r w:rsidR="00040EA1">
        <w:rPr>
          <w:rFonts w:asciiTheme="minorHAnsi" w:hAnsiTheme="minorHAnsi"/>
          <w:sz w:val="22"/>
          <w:szCs w:val="22"/>
          <w:lang w:val="sr-Cyrl-BA"/>
        </w:rPr>
        <w:t>5</w:t>
      </w:r>
      <w:r w:rsidR="0043564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годину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Комисија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за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концесије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Републике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Српске</w:t>
      </w:r>
      <w:r w:rsidR="00B179A7">
        <w:rPr>
          <w:rFonts w:asciiTheme="minorHAnsi" w:hAnsiTheme="minorHAnsi"/>
          <w:sz w:val="22"/>
          <w:szCs w:val="22"/>
          <w:lang w:val="sr-Cyrl-BA"/>
        </w:rPr>
        <w:t>,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оквиру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свеукупних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активности</w:t>
      </w:r>
      <w:r w:rsidR="008539DF">
        <w:rPr>
          <w:rFonts w:asciiTheme="minorHAnsi" w:hAnsiTheme="minorHAnsi"/>
          <w:sz w:val="22"/>
          <w:szCs w:val="22"/>
          <w:lang w:val="sr-Cyrl-BA"/>
        </w:rPr>
        <w:t>,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знатан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временски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дио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посве</w:t>
      </w:r>
      <w:r>
        <w:rPr>
          <w:rFonts w:asciiTheme="minorHAnsi" w:hAnsiTheme="minorHAnsi"/>
          <w:sz w:val="22"/>
          <w:szCs w:val="22"/>
          <w:lang w:val="sr-Cyrl-BA"/>
        </w:rPr>
        <w:t>тила</w:t>
      </w:r>
      <w:r w:rsidR="006559F1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активностима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које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односиле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учешћа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представника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Комисије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разним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циљно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 w:rsidR="00563111">
        <w:rPr>
          <w:rFonts w:asciiTheme="minorHAnsi" w:hAnsiTheme="minorHAnsi"/>
          <w:sz w:val="22"/>
          <w:szCs w:val="22"/>
        </w:rPr>
        <w:t>–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тематски</w:t>
      </w:r>
      <w:r>
        <w:rPr>
          <w:rFonts w:asciiTheme="minorHAnsi" w:hAnsiTheme="minorHAnsi"/>
          <w:sz w:val="22"/>
          <w:szCs w:val="22"/>
          <w:lang w:val="sr-Cyrl-BA"/>
        </w:rPr>
        <w:t>м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састан</w:t>
      </w:r>
      <w:r>
        <w:rPr>
          <w:rFonts w:asciiTheme="minorHAnsi" w:hAnsiTheme="minorHAnsi"/>
          <w:sz w:val="22"/>
          <w:szCs w:val="22"/>
          <w:lang w:val="sr-Cyrl-BA"/>
        </w:rPr>
        <w:t>цима</w:t>
      </w:r>
      <w:r w:rsidR="009A6FF2">
        <w:rPr>
          <w:rFonts w:asciiTheme="minorHAnsi" w:hAnsiTheme="minorHAnsi"/>
          <w:sz w:val="22"/>
          <w:szCs w:val="22"/>
          <w:lang w:val="sr-Cyrl-BA"/>
        </w:rPr>
        <w:t>,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како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нивоу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Републике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Српске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тако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Би</w:t>
      </w:r>
      <w:r>
        <w:rPr>
          <w:rFonts w:asciiTheme="minorHAnsi" w:hAnsiTheme="minorHAnsi"/>
          <w:sz w:val="22"/>
          <w:szCs w:val="22"/>
          <w:lang w:val="sr-Cyrl-BA"/>
        </w:rPr>
        <w:t>Х</w:t>
      </w:r>
      <w:r w:rsidR="00EE7D2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С</w:t>
      </w:r>
      <w:r>
        <w:rPr>
          <w:rFonts w:asciiTheme="minorHAnsi" w:hAnsiTheme="minorHAnsi"/>
          <w:sz w:val="22"/>
          <w:szCs w:val="22"/>
        </w:rPr>
        <w:t>астанци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семинари</w:t>
      </w:r>
      <w:r w:rsidR="0043564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су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односили</w:t>
      </w:r>
      <w:r w:rsidR="0043564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оквирно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унапређења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концесионих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поступака</w:t>
      </w:r>
      <w:r w:rsidR="0043564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заснованих</w:t>
      </w:r>
      <w:r w:rsidR="009744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</w:t>
      </w:r>
      <w:r w:rsidR="009744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законом</w:t>
      </w:r>
      <w:r w:rsidR="009744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утврђеним</w:t>
      </w:r>
      <w:r w:rsidR="0097449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</w:rPr>
        <w:t>начелима</w:t>
      </w:r>
      <w:r w:rsidR="00BE2323">
        <w:rPr>
          <w:rFonts w:asciiTheme="minorHAnsi" w:hAnsiTheme="minorHAnsi"/>
          <w:sz w:val="22"/>
          <w:szCs w:val="22"/>
        </w:rPr>
        <w:t>.</w:t>
      </w:r>
      <w:r w:rsidR="00BE2323">
        <w:rPr>
          <w:rFonts w:asciiTheme="minorHAnsi" w:hAnsiTheme="minorHAnsi"/>
          <w:sz w:val="22"/>
          <w:szCs w:val="22"/>
          <w:lang w:val="sr-Cyrl-BA"/>
        </w:rPr>
        <w:t xml:space="preserve"> </w:t>
      </w:r>
    </w:p>
    <w:p w:rsidR="00435649" w:rsidRDefault="00DD65E6" w:rsidP="00150094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lastRenderedPageBreak/>
        <w:t>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току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протеклог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периода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представници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Комисије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за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концесије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посјећивали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редовно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рачуноводствене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семинаре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којима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узимали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активног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учешћа</w:t>
      </w:r>
      <w:r w:rsidR="00435649">
        <w:rPr>
          <w:rFonts w:asciiTheme="minorHAnsi" w:hAnsiTheme="minorHAnsi"/>
          <w:sz w:val="22"/>
          <w:szCs w:val="22"/>
        </w:rPr>
        <w:t xml:space="preserve">. </w:t>
      </w:r>
    </w:p>
    <w:p w:rsidR="0053244A" w:rsidRDefault="00DD65E6" w:rsidP="00150094">
      <w:p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</w:rPr>
        <w:t>Заједничка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иницијатива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организације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ОЕЦД</w:t>
      </w:r>
      <w:r w:rsidR="00435649">
        <w:rPr>
          <w:rFonts w:asciiTheme="minorHAnsi" w:hAnsiTheme="minorHAnsi"/>
          <w:sz w:val="22"/>
          <w:szCs w:val="22"/>
        </w:rPr>
        <w:t xml:space="preserve"> /</w:t>
      </w:r>
      <w:r>
        <w:rPr>
          <w:rFonts w:asciiTheme="minorHAnsi" w:hAnsiTheme="minorHAnsi"/>
          <w:sz w:val="22"/>
          <w:szCs w:val="22"/>
        </w:rPr>
        <w:t>СИГМА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Европске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уније</w:t>
      </w:r>
      <w:r w:rsidR="0043564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израдила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је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Принципе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јавне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управе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којима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подржава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оснажени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приступ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Европске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комисије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реформи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јавне</w:t>
      </w:r>
      <w:r w:rsidR="00DF76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управе</w:t>
      </w:r>
      <w:r w:rsidR="00DF76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</w:t>
      </w:r>
      <w:r w:rsidR="00DF76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процесу</w:t>
      </w:r>
      <w:r w:rsidR="00DF76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проширења</w:t>
      </w:r>
      <w:r w:rsidR="00DF76FB">
        <w:rPr>
          <w:rFonts w:asciiTheme="minorHAnsi" w:hAnsiTheme="minorHAnsi"/>
          <w:sz w:val="22"/>
          <w:szCs w:val="22"/>
        </w:rPr>
        <w:t>.</w:t>
      </w:r>
      <w:r w:rsidR="00DF76F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</w:rPr>
        <w:t>Том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приликом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прикупљани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параметри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којим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утврђују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почетне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вриједности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свих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индикатора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тренутном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стању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Босни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Херцеговини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односу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Принципе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јавне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управе</w:t>
      </w:r>
      <w:r w:rsidR="0043564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Такође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стручној</w:t>
      </w:r>
      <w:r w:rsidR="0053244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</w:rPr>
        <w:t>дискусији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препоручене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области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које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могу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наредном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периоду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да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нарочито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развијају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кроз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поступак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додјеле</w:t>
      </w:r>
      <w:r w:rsidR="004356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концесија</w:t>
      </w:r>
      <w:r w:rsidR="00435649">
        <w:rPr>
          <w:rFonts w:asciiTheme="minorHAnsi" w:hAnsiTheme="minorHAnsi"/>
          <w:sz w:val="22"/>
          <w:szCs w:val="22"/>
        </w:rPr>
        <w:t>.</w:t>
      </w:r>
    </w:p>
    <w:p w:rsidR="00A9398F" w:rsidRPr="007F3DE0" w:rsidRDefault="00DD65E6" w:rsidP="00150094">
      <w:p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576617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576617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576617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576617" w:rsidRPr="007F3DE0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576617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току</w:t>
      </w:r>
      <w:r w:rsidR="00576617" w:rsidRPr="007F3DE0">
        <w:rPr>
          <w:rFonts w:asciiTheme="minorHAnsi" w:hAnsiTheme="minorHAnsi"/>
          <w:sz w:val="22"/>
          <w:szCs w:val="22"/>
          <w:lang w:val="sr-Cyrl-BA"/>
        </w:rPr>
        <w:t xml:space="preserve"> 2015.</w:t>
      </w:r>
      <w:r w:rsidR="00563111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563111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остварила</w:t>
      </w:r>
      <w:r w:rsidR="00576617" w:rsidRPr="007F3DE0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између</w:t>
      </w:r>
      <w:r w:rsidR="00576617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осталих</w:t>
      </w:r>
      <w:r w:rsidR="00576617" w:rsidRPr="007F3DE0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сарадњу</w:t>
      </w:r>
      <w:r w:rsidR="00576617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576617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домаћим</w:t>
      </w:r>
      <w:r w:rsidR="00576617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институцијама</w:t>
      </w:r>
      <w:r w:rsidR="00576617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576617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погледу</w:t>
      </w:r>
      <w:r w:rsidR="00576617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давања</w:t>
      </w:r>
      <w:r w:rsidR="00576617" w:rsidRPr="007F3DE0">
        <w:rPr>
          <w:rFonts w:asciiTheme="minorHAnsi" w:hAnsiTheme="minorHAnsi"/>
          <w:sz w:val="22"/>
          <w:szCs w:val="22"/>
          <w:lang w:val="sr-Cyrl-BA"/>
        </w:rPr>
        <w:t>:</w:t>
      </w:r>
      <w:r w:rsidR="00563111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435649" w:rsidRPr="007F3DE0"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sz w:val="22"/>
          <w:szCs w:val="22"/>
        </w:rPr>
        <w:t>Правилник</w:t>
      </w:r>
      <w:r w:rsidR="00435649" w:rsidRPr="007F3D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критеријумима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одређивање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висине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концесионе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накнаде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висину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гаранције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изградњу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коришћење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одржавање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јавних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путева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путних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објеката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те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пратећих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услужних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објеката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путном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земљишту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>“</w:t>
      </w:r>
      <w:r w:rsidR="009D784F" w:rsidRPr="007F3DE0">
        <w:rPr>
          <w:rFonts w:asciiTheme="minorHAnsi" w:hAnsiTheme="minorHAnsi"/>
          <w:sz w:val="22"/>
          <w:szCs w:val="22"/>
        </w:rPr>
        <w:t>,</w:t>
      </w:r>
      <w:r w:rsidR="0038695A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Министарству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саобраћаја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веза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давања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мишљења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„</w:t>
      </w:r>
      <w:r>
        <w:rPr>
          <w:rFonts w:asciiTheme="minorHAnsi" w:hAnsiTheme="minorHAnsi"/>
          <w:sz w:val="22"/>
          <w:szCs w:val="22"/>
          <w:lang w:val="sr-Cyrl-BA"/>
        </w:rPr>
        <w:t>Приједлог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допунама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Правилника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висини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концесионе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накнаде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банкарских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гаранција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електроенергетике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енергената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рударства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геологије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Министарству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индустрије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енергетике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рударства</w:t>
      </w:r>
      <w:r w:rsidR="00040EA1" w:rsidRPr="007F3DE0">
        <w:rPr>
          <w:rFonts w:asciiTheme="minorHAnsi" w:hAnsiTheme="minorHAnsi"/>
          <w:sz w:val="22"/>
          <w:szCs w:val="22"/>
          <w:lang w:val="sr-Cyrl-BA"/>
        </w:rPr>
        <w:t>“.</w:t>
      </w:r>
    </w:p>
    <w:p w:rsidR="001E2043" w:rsidRPr="007F3DE0" w:rsidRDefault="00DD65E6" w:rsidP="00392C43">
      <w:pPr>
        <w:pStyle w:val="NoSpacing"/>
        <w:jc w:val="both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темељу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наведене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активности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започела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истом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организацијом</w:t>
      </w:r>
      <w:r w:rsidR="00563111">
        <w:rPr>
          <w:rFonts w:asciiTheme="minorHAnsi" w:hAnsiTheme="minorHAnsi"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563111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унапређењу</w:t>
      </w:r>
      <w:r w:rsidR="00563111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локалног</w:t>
      </w:r>
      <w:r w:rsidR="00563111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развоја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поступку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Документу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политици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додјеле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чија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ће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реализација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услиједити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током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2016.</w:t>
      </w:r>
      <w:r w:rsidR="00563111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>.</w:t>
      </w:r>
    </w:p>
    <w:p w:rsidR="00481C65" w:rsidRPr="007F3DE0" w:rsidRDefault="00DD65E6" w:rsidP="00392C43">
      <w:pPr>
        <w:pStyle w:val="NoSpacing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У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оквиру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сарадње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563111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563111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страним</w:t>
      </w:r>
      <w:r w:rsidR="00563111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институцијама</w:t>
      </w:r>
      <w:r w:rsidR="00563111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нарочито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истиче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остварена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посјета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Предсједника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Републици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Русији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позив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организације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563111">
        <w:rPr>
          <w:rFonts w:asciiTheme="minorHAnsi" w:hAnsiTheme="minorHAnsi"/>
          <w:sz w:val="22"/>
          <w:szCs w:val="22"/>
          <w:lang w:val="sr-Cyrl-BA"/>
        </w:rPr>
        <w:t>„</w:t>
      </w:r>
      <w:r>
        <w:rPr>
          <w:rFonts w:asciiTheme="minorHAnsi" w:hAnsiTheme="minorHAnsi"/>
          <w:sz w:val="22"/>
          <w:szCs w:val="22"/>
          <w:lang w:val="sr-Cyrl-BA"/>
        </w:rPr>
        <w:t>Руско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>-</w:t>
      </w:r>
      <w:r>
        <w:rPr>
          <w:rFonts w:asciiTheme="minorHAnsi" w:hAnsiTheme="minorHAnsi"/>
          <w:sz w:val="22"/>
          <w:szCs w:val="22"/>
          <w:lang w:val="sr-Cyrl-BA"/>
        </w:rPr>
        <w:t>српски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мост</w:t>
      </w:r>
      <w:r w:rsidR="00563111">
        <w:rPr>
          <w:rFonts w:asciiTheme="minorHAnsi" w:hAnsiTheme="minorHAnsi"/>
          <w:sz w:val="22"/>
          <w:szCs w:val="22"/>
          <w:lang w:val="sr-Cyrl-BA"/>
        </w:rPr>
        <w:t>“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циљу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унапређења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послова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презентације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предмета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Републици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Српској</w:t>
      </w:r>
      <w:r w:rsidR="001E2043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упознавања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страних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инвеститора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могућности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улагања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капитала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предмете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Републици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Српској</w:t>
      </w:r>
      <w:r w:rsidR="0004456E" w:rsidRPr="007F3DE0">
        <w:rPr>
          <w:rFonts w:asciiTheme="minorHAnsi" w:hAnsiTheme="minorHAnsi"/>
          <w:sz w:val="22"/>
          <w:szCs w:val="22"/>
          <w:lang w:val="sr-Cyrl-BA"/>
        </w:rPr>
        <w:t>.</w:t>
      </w:r>
    </w:p>
    <w:p w:rsidR="002C17BD" w:rsidRDefault="002C17BD" w:rsidP="00D42A46">
      <w:pPr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A9398F" w:rsidRPr="008B161F" w:rsidRDefault="008B161F" w:rsidP="00563111">
      <w:pPr>
        <w:pStyle w:val="Heading1"/>
      </w:pPr>
      <w:bookmarkStart w:id="83" w:name="_Toc418075648"/>
      <w:bookmarkStart w:id="84" w:name="_Toc449404353"/>
      <w:r w:rsidRPr="008B161F">
        <w:t>7.</w:t>
      </w:r>
      <w:r w:rsidR="00A9398F" w:rsidRPr="008B161F">
        <w:t xml:space="preserve"> </w:t>
      </w:r>
      <w:r w:rsidR="00DD65E6">
        <w:t>ЗАКЉУЧАК</w:t>
      </w:r>
      <w:bookmarkEnd w:id="83"/>
      <w:bookmarkEnd w:id="84"/>
      <w:r w:rsidR="00486B82" w:rsidRPr="008B161F">
        <w:t xml:space="preserve"> </w:t>
      </w:r>
    </w:p>
    <w:p w:rsidR="00A9398F" w:rsidRPr="00A9398F" w:rsidRDefault="00DD65E6" w:rsidP="00D94071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Сумирајући</w:t>
      </w:r>
      <w:r w:rsidR="00C80C74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чињенице</w:t>
      </w:r>
      <w:r w:rsidR="00C80C74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C80C74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терена</w:t>
      </w:r>
      <w:r w:rsidR="00C80C74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C80C74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анализирајући</w:t>
      </w:r>
      <w:r w:rsidR="0067392B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урађене</w:t>
      </w:r>
      <w:r w:rsidR="00C80C74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Записнике</w:t>
      </w:r>
      <w:r w:rsidR="00C80C74">
        <w:rPr>
          <w:rFonts w:asciiTheme="minorHAnsi" w:hAnsiTheme="minorHAnsi"/>
          <w:sz w:val="22"/>
          <w:szCs w:val="22"/>
          <w:lang w:val="sr-Cyrl-BA"/>
        </w:rPr>
        <w:t>,</w:t>
      </w:r>
      <w:r w:rsidR="00A9398F" w:rsidRPr="00A939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</w:t>
      </w:r>
      <w:r w:rsidR="00A9398F" w:rsidRPr="00A939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циљу</w:t>
      </w:r>
      <w:r w:rsidR="00A9398F" w:rsidRPr="00A939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стварања</w:t>
      </w:r>
      <w:r w:rsidR="00A9398F" w:rsidRPr="00A939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што</w:t>
      </w:r>
      <w:r w:rsidR="00A9398F" w:rsidRPr="00A939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повољнијих</w:t>
      </w:r>
      <w:r w:rsidR="00A9398F" w:rsidRPr="00A939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претпоставки</w:t>
      </w:r>
      <w:r w:rsidR="00A9398F" w:rsidRPr="00A939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за</w:t>
      </w:r>
      <w:r w:rsidR="00A9398F" w:rsidRPr="00A939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реализацију</w:t>
      </w:r>
      <w:r w:rsidR="00C80C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концесионих</w:t>
      </w:r>
      <w:r w:rsidR="00C80C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пројеката</w:t>
      </w:r>
      <w:r w:rsidR="00C80C74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</w:rPr>
        <w:t>Комисија</w:t>
      </w:r>
      <w:r w:rsidR="00A9398F" w:rsidRPr="00A939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је</w:t>
      </w:r>
      <w:r w:rsidR="00A9398F" w:rsidRPr="00A939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усвојила</w:t>
      </w:r>
      <w:r w:rsidR="00A9398F" w:rsidRPr="00A939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сљедеће</w:t>
      </w:r>
      <w:r w:rsidR="00A9398F" w:rsidRPr="00A939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закључке</w:t>
      </w:r>
      <w:r w:rsidR="00A9398F" w:rsidRPr="00A9398F">
        <w:rPr>
          <w:rFonts w:asciiTheme="minorHAnsi" w:hAnsiTheme="minorHAnsi"/>
          <w:sz w:val="22"/>
          <w:szCs w:val="22"/>
        </w:rPr>
        <w:t>:</w:t>
      </w:r>
    </w:p>
    <w:p w:rsidR="00A9398F" w:rsidRPr="002C17BD" w:rsidRDefault="00DD65E6" w:rsidP="00D94071">
      <w:pPr>
        <w:pStyle w:val="NoSpacing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Уговорне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стране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морају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водити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рачуна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предмет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буде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подобан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коришћење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односно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истом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постоје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неријешени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имовинско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>-</w:t>
      </w:r>
      <w:r>
        <w:rPr>
          <w:rFonts w:asciiTheme="minorHAnsi" w:hAnsiTheme="minorHAnsi"/>
          <w:sz w:val="22"/>
          <w:szCs w:val="22"/>
          <w:lang w:val="sr-Cyrl-BA"/>
        </w:rPr>
        <w:t>правни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ист</w:t>
      </w:r>
      <w:r>
        <w:rPr>
          <w:rFonts w:asciiTheme="minorHAnsi" w:hAnsiTheme="minorHAnsi"/>
          <w:sz w:val="22"/>
          <w:szCs w:val="22"/>
          <w:lang w:val="sr-Latn-BA"/>
        </w:rPr>
        <w:t>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погодно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пољопривредну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производњу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јер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нису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могућности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ове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ријеше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сами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>.</w:t>
      </w:r>
    </w:p>
    <w:p w:rsidR="00EB0A8B" w:rsidRPr="002C17BD" w:rsidRDefault="00DD65E6" w:rsidP="00D94071">
      <w:pPr>
        <w:pStyle w:val="NoSpacing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Министарство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пољопривреде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шумарства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водопривреде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требало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активније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сарађивати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Републичком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управом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геодетске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имовинско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>-</w:t>
      </w:r>
      <w:r>
        <w:rPr>
          <w:rFonts w:asciiTheme="minorHAnsi" w:hAnsiTheme="minorHAnsi"/>
          <w:sz w:val="22"/>
          <w:szCs w:val="22"/>
          <w:lang w:val="sr-Cyrl-BA"/>
        </w:rPr>
        <w:t>правне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послове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као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Републичким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јавним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правобранилаштвом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све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циљу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успоставе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јединствене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евиденције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непокретностима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убрзаном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рјешавању</w:t>
      </w:r>
      <w:r w:rsidR="00EB0A8B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имовинско</w:t>
      </w:r>
      <w:r w:rsidR="00EB0A8B" w:rsidRPr="002C17BD">
        <w:rPr>
          <w:rFonts w:asciiTheme="minorHAnsi" w:hAnsiTheme="minorHAnsi"/>
          <w:sz w:val="22"/>
          <w:szCs w:val="22"/>
          <w:lang w:val="sr-Cyrl-BA"/>
        </w:rPr>
        <w:t>-</w:t>
      </w:r>
      <w:r>
        <w:rPr>
          <w:rFonts w:asciiTheme="minorHAnsi" w:hAnsiTheme="minorHAnsi"/>
          <w:sz w:val="22"/>
          <w:szCs w:val="22"/>
          <w:lang w:val="sr-Cyrl-BA"/>
        </w:rPr>
        <w:t>правних</w:t>
      </w:r>
      <w:r w:rsidR="00EB0A8B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спорова</w:t>
      </w:r>
      <w:r w:rsidR="00EB0A8B" w:rsidRPr="002C17BD">
        <w:rPr>
          <w:rFonts w:asciiTheme="minorHAnsi" w:hAnsiTheme="minorHAnsi"/>
          <w:sz w:val="22"/>
          <w:szCs w:val="22"/>
          <w:lang w:val="sr-Cyrl-BA"/>
        </w:rPr>
        <w:t>.</w:t>
      </w:r>
    </w:p>
    <w:p w:rsidR="00A9398F" w:rsidRPr="002C17BD" w:rsidRDefault="00DD65E6" w:rsidP="00D94071">
      <w:pPr>
        <w:pStyle w:val="NoSpacing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CS"/>
        </w:rPr>
        <w:t>Имајући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виду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новим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Законом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концесијама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>(„</w:t>
      </w:r>
      <w:r>
        <w:rPr>
          <w:rFonts w:asciiTheme="minorHAnsi" w:hAnsiTheme="minorHAnsi"/>
          <w:sz w:val="22"/>
          <w:szCs w:val="22"/>
          <w:lang w:val="sr-Cyrl-BA"/>
        </w:rPr>
        <w:t>Службени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гласник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“ </w:t>
      </w:r>
      <w:r>
        <w:rPr>
          <w:rFonts w:asciiTheme="minorHAnsi" w:hAnsiTheme="minorHAnsi"/>
          <w:sz w:val="22"/>
          <w:szCs w:val="22"/>
          <w:lang w:val="sr-Cyrl-BA"/>
        </w:rPr>
        <w:t>број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>: 59/13</w:t>
      </w:r>
      <w:r w:rsidR="00992775" w:rsidRPr="002C17BD">
        <w:rPr>
          <w:rFonts w:asciiTheme="minorHAnsi" w:hAnsiTheme="minorHAnsi"/>
          <w:sz w:val="22"/>
          <w:szCs w:val="22"/>
          <w:lang w:val="sr-Cyrl-CS"/>
        </w:rPr>
        <w:t xml:space="preserve">)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992775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члану</w:t>
      </w:r>
      <w:r w:rsidR="00992775" w:rsidRPr="002C17BD">
        <w:rPr>
          <w:rFonts w:asciiTheme="minorHAnsi" w:hAnsiTheme="minorHAnsi"/>
          <w:sz w:val="22"/>
          <w:szCs w:val="22"/>
          <w:lang w:val="sr-Cyrl-CS"/>
        </w:rPr>
        <w:t xml:space="preserve"> 6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дефинисани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предмети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Комисија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сматра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је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неопходно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досадашње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подручје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концесионих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односа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проширити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остале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предмете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концесија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из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разлога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што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сва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добра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општој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употреби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треба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имају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исти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или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сличан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третман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Концесије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представљају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најбољи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најсигурнији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начин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регулисања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давања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добара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општег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интереса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вишегодишњи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закуп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што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показало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као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најбоља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пракса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земљама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Европске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Уније</w:t>
      </w:r>
      <w:r w:rsidR="00A9398F" w:rsidRPr="002C17BD">
        <w:rPr>
          <w:rFonts w:asciiTheme="minorHAnsi" w:hAnsiTheme="minorHAnsi"/>
          <w:sz w:val="22"/>
          <w:szCs w:val="22"/>
          <w:lang w:val="sr-Cyrl-CS"/>
        </w:rPr>
        <w:t>.</w:t>
      </w:r>
    </w:p>
    <w:p w:rsidR="00A9398F" w:rsidRPr="002C17BD" w:rsidRDefault="00DD65E6" w:rsidP="00D94071">
      <w:pPr>
        <w:pStyle w:val="NoSpacing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има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резерву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око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уговореног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обезбјеђења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рекултивације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код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већине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износу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5%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годишњег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бруто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прихода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оствареног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посљедње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пословне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јер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довољно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сигурну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гаранцију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ће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рекултивација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извршена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Значајним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смањењем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пословних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активности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концесионог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предузећа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посљедње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пословања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уколико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изврши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рекултивацију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средствима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банкарске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гаранције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неби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било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могуће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lastRenderedPageBreak/>
        <w:t>извршити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исту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Новим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рјешењем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Правилник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висини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накнаде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банкарске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гаранције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електроенергетике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енергетике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рударства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геологије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(„</w:t>
      </w:r>
      <w:r>
        <w:rPr>
          <w:rFonts w:asciiTheme="minorHAnsi" w:hAnsiTheme="minorHAnsi"/>
          <w:sz w:val="22"/>
          <w:szCs w:val="22"/>
          <w:lang w:val="sr-Cyrl-BA"/>
        </w:rPr>
        <w:t>Службени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гласник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“, </w:t>
      </w:r>
      <w:r>
        <w:rPr>
          <w:rFonts w:asciiTheme="minorHAnsi" w:hAnsiTheme="minorHAnsi"/>
          <w:sz w:val="22"/>
          <w:szCs w:val="22"/>
          <w:lang w:val="sr-Cyrl-BA"/>
        </w:rPr>
        <w:t>број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: 67/14)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ће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примјењивати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код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закључења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нових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концесији</w:t>
      </w:r>
      <w:r w:rsidR="008806A1" w:rsidRPr="002C17BD">
        <w:rPr>
          <w:rFonts w:asciiTheme="minorHAnsi" w:hAnsiTheme="minorHAnsi"/>
          <w:sz w:val="22"/>
          <w:szCs w:val="22"/>
          <w:lang w:val="sr-Latn-BA"/>
        </w:rPr>
        <w:t>,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дефинисано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1D475B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гаранција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извршење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рекултивације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предмете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рударства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одређује</w:t>
      </w:r>
      <w:r w:rsidR="001D475B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износу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10%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просјечних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трошкова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одржавања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мишљења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сама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формулација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банкарске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гаранције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непрецизна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што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поставља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sz w:val="22"/>
          <w:szCs w:val="22"/>
          <w:lang w:val="sr-Cyrl-BA"/>
        </w:rPr>
        <w:t>логично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питање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трошкови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одржавања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како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одредити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ли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10%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просјечних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трошкова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одржавања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последње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пословања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довољно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изврши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рекултивација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уколико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Концесионар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изврши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Приједлог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sz w:val="22"/>
          <w:szCs w:val="22"/>
          <w:lang w:val="sr-Cyrl-BA"/>
        </w:rPr>
        <w:t>издвајање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средстава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годишњем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нивоу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износу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планиран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Пројектом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рекултивације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што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основу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горе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наведеног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говори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неопходности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измјене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или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доношења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новог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Правилника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>.</w:t>
      </w:r>
    </w:p>
    <w:p w:rsidR="00A9398F" w:rsidRPr="002C17BD" w:rsidRDefault="00DD65E6" w:rsidP="00D94071">
      <w:pPr>
        <w:pStyle w:val="NoSpacing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Коришћење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јавног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водног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добра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односно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вађење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материјала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водотока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Cyrl-BA"/>
        </w:rPr>
        <w:t>шљунка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пијеска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камена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) </w:t>
      </w:r>
      <w:r>
        <w:rPr>
          <w:rFonts w:asciiTheme="minorHAnsi" w:hAnsiTheme="minorHAnsi"/>
          <w:sz w:val="22"/>
          <w:szCs w:val="22"/>
          <w:lang w:val="sr-Cyrl-BA"/>
        </w:rPr>
        <w:t>према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Програму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уређења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водотока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коришћење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водног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реализацију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привредних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дјелатности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или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реализацију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других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предмета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Законом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концесијама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дефинисано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као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предмет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извјештајној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години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према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информацијама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којима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располаже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надлежно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министарство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предузимало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значајније</w:t>
      </w:r>
      <w:r w:rsidR="008E3A29" w:rsidRPr="002C17BD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активности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увођењу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овог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сегмента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привређивања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резултат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свега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тога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даље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немамо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закључених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ове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Поређења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земљама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окружења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постоји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закључено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неколико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стотина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ове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области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Већ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дужи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временски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период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имамо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ситуацију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врши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нелегална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експлоатација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шљунка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пијеска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камена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без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икаквих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одобрења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или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основу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злоупотреба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рјешења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вађење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материјала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издатих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стране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„</w:t>
      </w:r>
      <w:r>
        <w:rPr>
          <w:rFonts w:asciiTheme="minorHAnsi" w:hAnsiTheme="minorHAnsi"/>
          <w:sz w:val="22"/>
          <w:szCs w:val="22"/>
          <w:lang w:val="sr-Cyrl-BA"/>
        </w:rPr>
        <w:t>Воде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“ </w:t>
      </w:r>
      <w:r>
        <w:rPr>
          <w:rFonts w:asciiTheme="minorHAnsi" w:hAnsiTheme="minorHAnsi"/>
          <w:sz w:val="22"/>
          <w:szCs w:val="22"/>
          <w:lang w:val="sr-Cyrl-BA"/>
        </w:rPr>
        <w:t>Бијељина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сврху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одржавања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корита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коришћење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водног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>.</w:t>
      </w:r>
    </w:p>
    <w:p w:rsidR="005F3CB1" w:rsidRPr="002C17BD" w:rsidRDefault="00DD65E6" w:rsidP="00D94071">
      <w:pPr>
        <w:pStyle w:val="NoSpacing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Једна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посебности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тржишта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Републици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српској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јесте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sz w:val="22"/>
          <w:szCs w:val="22"/>
          <w:lang w:val="sr-Cyrl-BA"/>
        </w:rPr>
        <w:t>већина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концесионих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1D475B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односи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коришћење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1D475B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експлоатацију</w:t>
      </w:r>
      <w:r w:rsidR="001D475B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природних</w:t>
      </w:r>
      <w:r w:rsidR="001D475B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ресурса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Cyrl-BA"/>
        </w:rPr>
        <w:t>водотокова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руда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минералних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пољопривредног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земљишта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...) </w:t>
      </w:r>
      <w:r>
        <w:rPr>
          <w:rFonts w:asciiTheme="minorHAnsi" w:hAnsiTheme="minorHAnsi"/>
          <w:sz w:val="22"/>
          <w:szCs w:val="22"/>
          <w:lang w:val="sr-Cyrl-BA"/>
        </w:rPr>
        <w:t>док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тржишту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нема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довољно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понуђених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сектора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транспорта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изградњу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управљање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транспортном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инфраструктуром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Cyrl-BA"/>
        </w:rPr>
        <w:t>аутопутеви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жељезнице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ријечне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луке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...), </w:t>
      </w:r>
      <w:r>
        <w:rPr>
          <w:rFonts w:asciiTheme="minorHAnsi" w:hAnsiTheme="minorHAnsi"/>
          <w:sz w:val="22"/>
          <w:szCs w:val="22"/>
          <w:lang w:val="sr-Cyrl-BA"/>
        </w:rPr>
        <w:t>као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ни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осталих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сектора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као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што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водоснабдијевање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управљање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чврстим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отпадом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јавне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установе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јавне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услуге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друго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 w:rsidR="00617FA4">
        <w:rPr>
          <w:rFonts w:asciiTheme="minorHAnsi" w:hAnsiTheme="minorHAnsi"/>
          <w:sz w:val="22"/>
          <w:szCs w:val="22"/>
          <w:lang w:val="sr-Cyrl-BA"/>
        </w:rPr>
        <w:t>како је предвиђено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Документом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политици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додјеле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При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томе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далеко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највећи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број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додијељених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односи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енергетски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сектор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док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остали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сектори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значајно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мањи</w:t>
      </w:r>
      <w:r w:rsidR="005F3CB1" w:rsidRPr="002C17BD">
        <w:rPr>
          <w:rFonts w:asciiTheme="minorHAnsi" w:hAnsiTheme="minorHAnsi"/>
          <w:sz w:val="22"/>
          <w:szCs w:val="22"/>
          <w:lang w:val="sr-Cyrl-BA"/>
        </w:rPr>
        <w:t>.</w:t>
      </w:r>
    </w:p>
    <w:p w:rsidR="00A9398F" w:rsidRPr="002C17BD" w:rsidRDefault="00DD65E6" w:rsidP="00D94071">
      <w:pPr>
        <w:pStyle w:val="NoSpacing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обезбиједио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будући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раст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развој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предузећа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отклониле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слабости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уочене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потребно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пружити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системску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подршку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која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првом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реду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односи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>:</w:t>
      </w:r>
    </w:p>
    <w:p w:rsidR="00A9398F" w:rsidRPr="002C17BD" w:rsidRDefault="00DD65E6" w:rsidP="00D94071">
      <w:pPr>
        <w:pStyle w:val="NoSpacing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покретање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већих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грађевинских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радова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Cyrl-BA"/>
        </w:rPr>
        <w:t>путеви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изградња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1D475B" w:rsidRPr="002C17BD">
        <w:rPr>
          <w:rFonts w:asciiTheme="minorHAnsi" w:hAnsiTheme="minorHAnsi"/>
          <w:sz w:val="22"/>
          <w:szCs w:val="22"/>
          <w:lang w:val="sr-Cyrl-BA"/>
        </w:rPr>
        <w:t>–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станоградња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енергетски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sz w:val="22"/>
          <w:szCs w:val="22"/>
          <w:lang w:val="sr-Cyrl-BA"/>
        </w:rPr>
        <w:t>објекти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остала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инфраструктура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реконструкција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.)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којима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домаћа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предузећа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користила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домаће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сировине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>;</w:t>
      </w:r>
    </w:p>
    <w:p w:rsidR="00A9398F" w:rsidRPr="002C17BD" w:rsidRDefault="00DD65E6" w:rsidP="00D94071">
      <w:pPr>
        <w:pStyle w:val="NoSpacing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рјешавање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проблема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пласмана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минералних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сировина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готових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производа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друга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регионална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европска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тржишта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>;</w:t>
      </w:r>
    </w:p>
    <w:p w:rsidR="00A9398F" w:rsidRPr="002C17BD" w:rsidRDefault="00DD65E6" w:rsidP="00D94071">
      <w:pPr>
        <w:pStyle w:val="NoSpacing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рјешавање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проблема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нелојалне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конкуренције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настале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експлоатацијом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минералних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сировина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Федерацији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Босне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Херцеговине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нелегалне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експлоатације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Републици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Српској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>;</w:t>
      </w:r>
    </w:p>
    <w:p w:rsidR="00A9398F" w:rsidRPr="002C17BD" w:rsidRDefault="00DD65E6" w:rsidP="00D94071">
      <w:pPr>
        <w:pStyle w:val="NoSpacing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обезбјеђење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већих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развојних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средстава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оживљавање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инвестиционих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активности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концесионим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предузећима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замјену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застарјеле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опреме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повећање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запошљавања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>;</w:t>
      </w:r>
    </w:p>
    <w:p w:rsidR="00A9398F" w:rsidRPr="002C17BD" w:rsidRDefault="00DD65E6" w:rsidP="00D94071">
      <w:pPr>
        <w:pStyle w:val="NoSpacing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стварање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позитивне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климе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друштву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сваку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озбиљну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инвестицију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треба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доведе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позитивног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исхода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код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реализације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пројеката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>.</w:t>
      </w:r>
    </w:p>
    <w:p w:rsidR="00D42A46" w:rsidRPr="002C17BD" w:rsidRDefault="00D42A46" w:rsidP="00D94071">
      <w:pPr>
        <w:pStyle w:val="NoSpacing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A9398F" w:rsidRPr="002C17BD" w:rsidRDefault="00DD65E6" w:rsidP="00D94071">
      <w:pPr>
        <w:pStyle w:val="NoSpacing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Комисија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сматра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потребно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веће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ангажовање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Републичке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управе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инспекцијске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послове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односно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надлежних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инспекција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циљу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спрјечавања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нелегалне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експлоатације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предмета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злоупотребе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закона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закључених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концесијама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(</w:t>
      </w:r>
      <w:r>
        <w:rPr>
          <w:rFonts w:asciiTheme="minorHAnsi" w:hAnsiTheme="minorHAnsi"/>
          <w:sz w:val="22"/>
          <w:szCs w:val="22"/>
          <w:lang w:val="sr-Cyrl-BA"/>
        </w:rPr>
        <w:t>рударске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lastRenderedPageBreak/>
        <w:t>инспекције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водне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инспекције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пољопривредне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инспекције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урбанистичко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>-</w:t>
      </w:r>
      <w:r>
        <w:rPr>
          <w:rFonts w:asciiTheme="minorHAnsi" w:hAnsiTheme="minorHAnsi"/>
          <w:sz w:val="22"/>
          <w:szCs w:val="22"/>
          <w:lang w:val="sr-Cyrl-BA"/>
        </w:rPr>
        <w:t>грађевинско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>-</w:t>
      </w:r>
      <w:r>
        <w:rPr>
          <w:rFonts w:asciiTheme="minorHAnsi" w:hAnsiTheme="minorHAnsi"/>
          <w:sz w:val="22"/>
          <w:szCs w:val="22"/>
          <w:lang w:val="sr-Cyrl-BA"/>
        </w:rPr>
        <w:t>еколошке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инспекције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.), </w:t>
      </w:r>
      <w:r>
        <w:rPr>
          <w:rFonts w:asciiTheme="minorHAnsi" w:hAnsiTheme="minorHAnsi"/>
          <w:sz w:val="22"/>
          <w:szCs w:val="22"/>
          <w:lang w:val="sr-Cyrl-BA"/>
        </w:rPr>
        <w:t>што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довело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потписивања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већег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броја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нових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концесионих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тиме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уплате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веће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концесионе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накнаде</w:t>
      </w:r>
      <w:r w:rsidR="00A9398F" w:rsidRPr="002C17BD">
        <w:rPr>
          <w:rFonts w:asciiTheme="minorHAnsi" w:hAnsiTheme="minorHAnsi"/>
          <w:sz w:val="22"/>
          <w:szCs w:val="22"/>
          <w:lang w:val="sr-Cyrl-BA"/>
        </w:rPr>
        <w:t>.</w:t>
      </w:r>
    </w:p>
    <w:p w:rsidR="00327858" w:rsidRPr="008537CF" w:rsidRDefault="00327858" w:rsidP="00D94071">
      <w:pPr>
        <w:pStyle w:val="ListParagraph"/>
        <w:spacing w:after="120"/>
        <w:jc w:val="both"/>
        <w:rPr>
          <w:rFonts w:ascii="Calibri" w:hAnsi="Calibri"/>
          <w:sz w:val="22"/>
          <w:szCs w:val="22"/>
          <w:lang w:val="sr-Cyrl-BA"/>
        </w:rPr>
      </w:pPr>
    </w:p>
    <w:p w:rsidR="00A9398F" w:rsidRDefault="00DD65E6" w:rsidP="00D9407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sr-Cyrl-BA"/>
        </w:rPr>
        <w:t>Активности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Комисије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исказане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Извјештају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раду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201</w:t>
      </w:r>
      <w:r w:rsidR="00C140BA" w:rsidRPr="00772DB9">
        <w:rPr>
          <w:rFonts w:ascii="Calibri" w:hAnsi="Calibri"/>
          <w:sz w:val="22"/>
          <w:szCs w:val="22"/>
          <w:lang w:val="sr-Cyrl-BA"/>
        </w:rPr>
        <w:t>5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. </w:t>
      </w:r>
      <w:r>
        <w:rPr>
          <w:rFonts w:ascii="Calibri" w:hAnsi="Calibri"/>
          <w:sz w:val="22"/>
          <w:szCs w:val="22"/>
          <w:lang w:val="sr-Cyrl-BA"/>
        </w:rPr>
        <w:t>године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потпуности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афирмишу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рад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 </w:t>
      </w:r>
      <w:r>
        <w:rPr>
          <w:rFonts w:ascii="Calibri" w:hAnsi="Calibri"/>
          <w:sz w:val="22"/>
          <w:szCs w:val="22"/>
          <w:lang w:val="sr-Cyrl-BA"/>
        </w:rPr>
        <w:t>Комисије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њену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улогу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сложеном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систему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додјеле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а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нарочито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спровођењу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Закона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концесијама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Документа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политици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додјеле</w:t>
      </w:r>
      <w:r w:rsidR="00A9398F" w:rsidRPr="00772DB9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концесија</w:t>
      </w:r>
      <w:r w:rsidR="00A9398F" w:rsidRPr="00772DB9">
        <w:rPr>
          <w:rFonts w:ascii="Calibri" w:hAnsi="Calibri"/>
          <w:sz w:val="22"/>
          <w:szCs w:val="22"/>
          <w:lang w:val="sr-Cyrl-BA"/>
        </w:rPr>
        <w:t>.</w:t>
      </w:r>
    </w:p>
    <w:p w:rsidR="00D93B24" w:rsidRDefault="00DD65E6" w:rsidP="00D94071">
      <w:pPr>
        <w:spacing w:after="12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Комисија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концесије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Старом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сазиву</w:t>
      </w:r>
      <w:r w:rsidR="00BF6D4F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због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престанка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мандата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процедуре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избора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новог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сазива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Комисије</w:t>
      </w:r>
      <w:r w:rsidR="00BF6D4F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практично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престала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радом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половином</w:t>
      </w:r>
      <w:r w:rsidR="00BF6D4F">
        <w:rPr>
          <w:rFonts w:ascii="Calibri" w:hAnsi="Calibri"/>
          <w:sz w:val="22"/>
          <w:szCs w:val="22"/>
          <w:lang w:val="sr-Cyrl-BA"/>
        </w:rPr>
        <w:t xml:space="preserve"> 2015.</w:t>
      </w:r>
      <w:r>
        <w:rPr>
          <w:rFonts w:ascii="Calibri" w:hAnsi="Calibri"/>
          <w:sz w:val="22"/>
          <w:szCs w:val="22"/>
          <w:lang w:val="sr-Cyrl-BA"/>
        </w:rPr>
        <w:t>године</w:t>
      </w:r>
      <w:r w:rsidR="00BF6D4F">
        <w:rPr>
          <w:rFonts w:ascii="Calibri" w:hAnsi="Calibri"/>
          <w:sz w:val="22"/>
          <w:szCs w:val="22"/>
          <w:lang w:val="sr-Cyrl-BA"/>
        </w:rPr>
        <w:t>.</w:t>
      </w:r>
    </w:p>
    <w:p w:rsidR="00BF6D4F" w:rsidRPr="005E27F4" w:rsidRDefault="00DD65E6" w:rsidP="00D94071">
      <w:pPr>
        <w:spacing w:after="120"/>
        <w:jc w:val="both"/>
        <w:rPr>
          <w:rFonts w:ascii="Calibri" w:hAnsi="Calibri" w:cs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Нови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сазив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отпочео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радом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почетком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новембра</w:t>
      </w:r>
      <w:r w:rsidR="00BF6D4F">
        <w:rPr>
          <w:rFonts w:ascii="Calibri" w:hAnsi="Calibri"/>
          <w:sz w:val="22"/>
          <w:szCs w:val="22"/>
          <w:lang w:val="sr-Cyrl-BA"/>
        </w:rPr>
        <w:t xml:space="preserve"> 2015.</w:t>
      </w:r>
      <w:r>
        <w:rPr>
          <w:rFonts w:ascii="Calibri" w:hAnsi="Calibri"/>
          <w:sz w:val="22"/>
          <w:szCs w:val="22"/>
          <w:lang w:val="sr-Cyrl-BA"/>
        </w:rPr>
        <w:t>године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те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је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Нови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сазив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уложио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додатне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напоре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BF6D4F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преостала</w:t>
      </w:r>
      <w:r w:rsidR="00BF6D4F">
        <w:rPr>
          <w:rFonts w:ascii="Calibri" w:hAnsi="Calibri"/>
          <w:sz w:val="22"/>
          <w:szCs w:val="22"/>
          <w:lang w:val="sr-Cyrl-BA"/>
        </w:rPr>
        <w:t xml:space="preserve"> 2 (</w:t>
      </w:r>
      <w:r>
        <w:rPr>
          <w:rFonts w:ascii="Calibri" w:hAnsi="Calibri"/>
          <w:sz w:val="22"/>
          <w:szCs w:val="22"/>
          <w:lang w:val="sr-Cyrl-BA"/>
        </w:rPr>
        <w:t>два</w:t>
      </w:r>
      <w:r w:rsidR="00BF6D4F">
        <w:rPr>
          <w:rFonts w:ascii="Calibri" w:hAnsi="Calibri"/>
          <w:sz w:val="22"/>
          <w:szCs w:val="22"/>
          <w:lang w:val="sr-Cyrl-BA"/>
        </w:rPr>
        <w:t xml:space="preserve"> )</w:t>
      </w:r>
      <w:r>
        <w:rPr>
          <w:rFonts w:ascii="Calibri" w:hAnsi="Calibri"/>
          <w:sz w:val="22"/>
          <w:szCs w:val="22"/>
          <w:lang w:val="sr-Cyrl-BA"/>
        </w:rPr>
        <w:t>мјесеца</w:t>
      </w:r>
      <w:r w:rsidR="00BF6D4F">
        <w:rPr>
          <w:rFonts w:ascii="Calibri" w:hAnsi="Calibri"/>
          <w:sz w:val="22"/>
          <w:szCs w:val="22"/>
          <w:lang w:val="sr-Cyrl-BA"/>
        </w:rPr>
        <w:t xml:space="preserve"> 2015.</w:t>
      </w:r>
      <w:r>
        <w:rPr>
          <w:rFonts w:ascii="Calibri" w:hAnsi="Calibri"/>
          <w:sz w:val="22"/>
          <w:szCs w:val="22"/>
          <w:lang w:val="sr-Cyrl-BA"/>
        </w:rPr>
        <w:t>године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заврши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све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предвиђене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активности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извјештајни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период</w:t>
      </w:r>
      <w:r w:rsidR="00BF6D4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тј</w:t>
      </w:r>
      <w:r w:rsidR="00BF6D4F">
        <w:rPr>
          <w:rFonts w:ascii="Calibri" w:hAnsi="Calibri"/>
          <w:sz w:val="22"/>
          <w:szCs w:val="22"/>
          <w:lang w:val="sr-Cyrl-BA"/>
        </w:rPr>
        <w:t xml:space="preserve">. </w:t>
      </w:r>
      <w:r>
        <w:rPr>
          <w:rFonts w:ascii="Calibri" w:hAnsi="Calibri"/>
          <w:sz w:val="22"/>
          <w:szCs w:val="22"/>
          <w:lang w:val="sr-Cyrl-BA"/>
        </w:rPr>
        <w:t>за</w:t>
      </w:r>
      <w:r w:rsidR="00BF6D4F">
        <w:rPr>
          <w:rFonts w:ascii="Calibri" w:hAnsi="Calibri"/>
          <w:sz w:val="22"/>
          <w:szCs w:val="22"/>
          <w:lang w:val="sr-Cyrl-BA"/>
        </w:rPr>
        <w:t xml:space="preserve"> 2015.</w:t>
      </w:r>
      <w:r>
        <w:rPr>
          <w:rFonts w:ascii="Calibri" w:hAnsi="Calibri"/>
          <w:sz w:val="22"/>
          <w:szCs w:val="22"/>
          <w:lang w:val="sr-Cyrl-BA"/>
        </w:rPr>
        <w:t>годину</w:t>
      </w:r>
      <w:r w:rsidR="00BF6D4F">
        <w:rPr>
          <w:rFonts w:ascii="Calibri" w:hAnsi="Calibri"/>
          <w:sz w:val="22"/>
          <w:szCs w:val="22"/>
          <w:lang w:val="sr-Cyrl-BA"/>
        </w:rPr>
        <w:t>.</w:t>
      </w:r>
    </w:p>
    <w:p w:rsidR="00EB5BD2" w:rsidRPr="00EB5BD2" w:rsidRDefault="00DD65E6" w:rsidP="00D94071">
      <w:pPr>
        <w:jc w:val="both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>Комисија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сматра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ће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сарадњи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са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Владом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и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Народном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скупштином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рад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области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Концесионарства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наредном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периоду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бити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унапријеђен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, </w:t>
      </w:r>
      <w:r>
        <w:rPr>
          <w:rFonts w:ascii="Calibri" w:hAnsi="Calibri"/>
          <w:sz w:val="22"/>
          <w:szCs w:val="22"/>
          <w:lang w:val="sr-Cyrl-BA"/>
        </w:rPr>
        <w:t>те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Комисија</w:t>
      </w:r>
      <w:r w:rsidR="00CE5BB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предлаже</w:t>
      </w:r>
      <w:r w:rsidR="00CE5BB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Народној</w:t>
      </w:r>
      <w:r w:rsidR="00CE5BB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Скупштини</w:t>
      </w:r>
      <w:r w:rsidR="00CE5BBE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Републике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Српске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да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 w:val="sr-Cyrl-BA"/>
        </w:rPr>
        <w:t>усвоји</w:t>
      </w:r>
      <w:r w:rsidR="00A9398F" w:rsidRPr="00A9398F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Извјештај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раду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концесије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финансијски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извјештај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 xml:space="preserve"> 2015.</w:t>
      </w:r>
      <w:r>
        <w:rPr>
          <w:rFonts w:asciiTheme="minorHAnsi" w:hAnsiTheme="minorHAnsi"/>
          <w:sz w:val="22"/>
          <w:szCs w:val="22"/>
          <w:lang w:val="sr-Cyrl-BA"/>
        </w:rPr>
        <w:t>годину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тј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период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 xml:space="preserve"> 01.01.2015.-31.12.2015.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EB5BD2" w:rsidRPr="00EB5BD2">
        <w:rPr>
          <w:rFonts w:asciiTheme="minorHAnsi" w:hAnsiTheme="minorHAnsi"/>
          <w:sz w:val="22"/>
          <w:szCs w:val="22"/>
          <w:lang w:val="sr-Cyrl-BA"/>
        </w:rPr>
        <w:t xml:space="preserve"> </w:t>
      </w:r>
    </w:p>
    <w:p w:rsidR="00D170D4" w:rsidRPr="00EB5BD2" w:rsidRDefault="00D170D4" w:rsidP="00EB5BD2">
      <w:pPr>
        <w:spacing w:after="120"/>
        <w:jc w:val="both"/>
        <w:rPr>
          <w:rFonts w:asciiTheme="minorHAnsi" w:hAnsiTheme="minorHAnsi"/>
          <w:sz w:val="22"/>
          <w:szCs w:val="22"/>
          <w:lang w:val="sr-Cyrl-BA"/>
        </w:rPr>
      </w:pPr>
    </w:p>
    <w:p w:rsidR="00A9398F" w:rsidRPr="00A9398F" w:rsidRDefault="00A9398F" w:rsidP="00A9398F">
      <w:pPr>
        <w:rPr>
          <w:rFonts w:ascii="Calibri" w:hAnsi="Calibri"/>
          <w:sz w:val="22"/>
          <w:szCs w:val="22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D170D4" w:rsidTr="00D42A46">
        <w:tc>
          <w:tcPr>
            <w:tcW w:w="4621" w:type="dxa"/>
          </w:tcPr>
          <w:p w:rsidR="00D170D4" w:rsidRPr="00E15F23" w:rsidRDefault="00DD65E6" w:rsidP="00E15F23">
            <w:pPr>
              <w:spacing w:after="120"/>
              <w:rPr>
                <w:rFonts w:ascii="Calibri" w:hAnsi="Calibri"/>
                <w:sz w:val="22"/>
                <w:szCs w:val="22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Број</w:t>
            </w:r>
            <w:r w:rsidR="00D170D4" w:rsidRPr="00A9398F">
              <w:rPr>
                <w:rFonts w:ascii="Calibri" w:hAnsi="Calibri"/>
                <w:sz w:val="22"/>
                <w:szCs w:val="22"/>
                <w:lang w:val="ru-RU"/>
              </w:rPr>
              <w:t xml:space="preserve">: </w:t>
            </w:r>
            <w:r w:rsidR="00E15F23">
              <w:rPr>
                <w:rFonts w:ascii="Calibri" w:hAnsi="Calibri"/>
                <w:sz w:val="22"/>
                <w:szCs w:val="22"/>
                <w:lang w:val="sr-Cyrl-BA"/>
              </w:rPr>
              <w:t>0</w:t>
            </w:r>
            <w:r w:rsidR="008E1835">
              <w:rPr>
                <w:rFonts w:ascii="Calibri" w:hAnsi="Calibri"/>
                <w:sz w:val="22"/>
                <w:szCs w:val="22"/>
                <w:lang w:val="sr-Latn-BA"/>
              </w:rPr>
              <w:t>1</w:t>
            </w:r>
            <w:r w:rsidR="00E15F23">
              <w:rPr>
                <w:rFonts w:ascii="Calibri" w:hAnsi="Calibri"/>
                <w:sz w:val="22"/>
                <w:szCs w:val="22"/>
                <w:lang w:val="sr-Cyrl-BA"/>
              </w:rPr>
              <w:t>-</w:t>
            </w:r>
            <w:r w:rsidR="00724981">
              <w:rPr>
                <w:rFonts w:ascii="Calibri" w:hAnsi="Calibri"/>
                <w:sz w:val="22"/>
                <w:szCs w:val="22"/>
              </w:rPr>
              <w:t>497</w:t>
            </w:r>
            <w:r w:rsidR="00E15F23">
              <w:rPr>
                <w:rFonts w:ascii="Calibri" w:hAnsi="Calibri"/>
                <w:sz w:val="22"/>
                <w:szCs w:val="22"/>
                <w:lang w:val="sr-Latn-BA"/>
              </w:rPr>
              <w:t>/1</w:t>
            </w:r>
            <w:r w:rsidR="00E15F23">
              <w:rPr>
                <w:rFonts w:ascii="Calibri" w:hAnsi="Calibri"/>
                <w:sz w:val="22"/>
                <w:szCs w:val="22"/>
                <w:lang w:val="sr-Cyrl-BA"/>
              </w:rPr>
              <w:t>6</w:t>
            </w:r>
          </w:p>
        </w:tc>
        <w:tc>
          <w:tcPr>
            <w:tcW w:w="4622" w:type="dxa"/>
          </w:tcPr>
          <w:p w:rsidR="00D170D4" w:rsidRDefault="00DD65E6" w:rsidP="00D170D4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mbria" w:hAnsi="Cambria"/>
                <w:b/>
                <w:sz w:val="26"/>
                <w:szCs w:val="26"/>
                <w:lang w:val="sr-Cyrl-BA"/>
              </w:rPr>
              <w:t>Предсједник</w:t>
            </w:r>
            <w:r w:rsidR="00D170D4" w:rsidRPr="00A9398F">
              <w:rPr>
                <w:rFonts w:ascii="Cambria" w:hAnsi="Cambria"/>
                <w:b/>
                <w:sz w:val="26"/>
                <w:szCs w:val="26"/>
                <w:lang w:val="sr-Cyrl-BA"/>
              </w:rPr>
              <w:t xml:space="preserve"> </w:t>
            </w:r>
            <w:r>
              <w:rPr>
                <w:rFonts w:ascii="Cambria" w:hAnsi="Cambria"/>
                <w:b/>
                <w:sz w:val="26"/>
                <w:szCs w:val="26"/>
                <w:lang w:val="sr-Cyrl-BA"/>
              </w:rPr>
              <w:t>Комисије</w:t>
            </w:r>
          </w:p>
        </w:tc>
      </w:tr>
      <w:tr w:rsidR="00D170D4" w:rsidTr="00D42A46">
        <w:tc>
          <w:tcPr>
            <w:tcW w:w="4621" w:type="dxa"/>
          </w:tcPr>
          <w:p w:rsidR="00D170D4" w:rsidRPr="003E12C9" w:rsidRDefault="00DD65E6" w:rsidP="002309CC">
            <w:pPr>
              <w:spacing w:after="120"/>
              <w:rPr>
                <w:rFonts w:ascii="Calibri" w:hAnsi="Calibri"/>
                <w:sz w:val="22"/>
                <w:szCs w:val="22"/>
                <w:lang w:val="sr-Cyrl-BA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Датум</w:t>
            </w:r>
            <w:r w:rsidR="00D170D4" w:rsidRPr="00A9398F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  <w:r w:rsidR="00747B3C">
              <w:rPr>
                <w:rFonts w:ascii="Calibri" w:hAnsi="Calibri"/>
                <w:sz w:val="22"/>
                <w:szCs w:val="22"/>
              </w:rPr>
              <w:t>28.4.2016.</w:t>
            </w:r>
            <w:r w:rsidR="003E12C9">
              <w:rPr>
                <w:rFonts w:ascii="Calibri" w:hAnsi="Calibri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>године</w:t>
            </w:r>
          </w:p>
        </w:tc>
        <w:tc>
          <w:tcPr>
            <w:tcW w:w="4622" w:type="dxa"/>
          </w:tcPr>
          <w:p w:rsidR="00D170D4" w:rsidRDefault="00DD65E6" w:rsidP="00D42A46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mbria" w:hAnsi="Cambria"/>
                <w:b/>
                <w:sz w:val="26"/>
                <w:szCs w:val="26"/>
                <w:lang w:val="sr-Cyrl-BA"/>
              </w:rPr>
              <w:t>Проф</w:t>
            </w:r>
            <w:r w:rsidR="00E8495C">
              <w:rPr>
                <w:rFonts w:ascii="Cambria" w:hAnsi="Cambria"/>
                <w:b/>
                <w:sz w:val="26"/>
                <w:szCs w:val="26"/>
                <w:lang w:val="sr-Cyrl-BA"/>
              </w:rPr>
              <w:t>.</w:t>
            </w:r>
            <w:r w:rsidR="002D402E">
              <w:rPr>
                <w:rFonts w:ascii="Cambria" w:hAnsi="Cambria"/>
                <w:b/>
                <w:sz w:val="26"/>
                <w:szCs w:val="26"/>
                <w:lang w:val="sr-Cyrl-BA"/>
              </w:rPr>
              <w:t xml:space="preserve"> </w:t>
            </w:r>
            <w:r>
              <w:rPr>
                <w:rFonts w:ascii="Cambria" w:hAnsi="Cambria"/>
                <w:b/>
                <w:sz w:val="26"/>
                <w:szCs w:val="26"/>
                <w:lang w:val="sr-Cyrl-BA"/>
              </w:rPr>
              <w:t>др</w:t>
            </w:r>
            <w:r w:rsidR="00E8495C">
              <w:rPr>
                <w:rFonts w:ascii="Cambria" w:hAnsi="Cambria"/>
                <w:b/>
                <w:sz w:val="26"/>
                <w:szCs w:val="26"/>
                <w:lang w:val="sr-Cyrl-BA"/>
              </w:rPr>
              <w:t xml:space="preserve"> </w:t>
            </w:r>
            <w:r>
              <w:rPr>
                <w:rFonts w:ascii="Cambria" w:hAnsi="Cambria"/>
                <w:b/>
                <w:sz w:val="26"/>
                <w:szCs w:val="26"/>
                <w:lang w:val="sr-Cyrl-BA"/>
              </w:rPr>
              <w:t>Раденко</w:t>
            </w:r>
            <w:r w:rsidR="00E8495C">
              <w:rPr>
                <w:rFonts w:ascii="Cambria" w:hAnsi="Cambria"/>
                <w:b/>
                <w:sz w:val="26"/>
                <w:szCs w:val="26"/>
                <w:lang w:val="sr-Cyrl-BA"/>
              </w:rPr>
              <w:t xml:space="preserve"> </w:t>
            </w:r>
            <w:r>
              <w:rPr>
                <w:rFonts w:ascii="Cambria" w:hAnsi="Cambria"/>
                <w:b/>
                <w:sz w:val="26"/>
                <w:szCs w:val="26"/>
                <w:lang w:val="sr-Cyrl-BA"/>
              </w:rPr>
              <w:t>Ђурица</w:t>
            </w:r>
          </w:p>
        </w:tc>
      </w:tr>
    </w:tbl>
    <w:p w:rsidR="003F7135" w:rsidRPr="002419AA" w:rsidRDefault="003F7135" w:rsidP="003A5DB7">
      <w:pPr>
        <w:rPr>
          <w:rFonts w:asciiTheme="minorHAnsi" w:hAnsiTheme="minorHAnsi"/>
          <w:sz w:val="22"/>
          <w:szCs w:val="22"/>
        </w:rPr>
      </w:pPr>
    </w:p>
    <w:sectPr w:rsidR="003F7135" w:rsidRPr="002419AA" w:rsidSect="00B649D0">
      <w:footerReference w:type="default" r:id="rId23"/>
      <w:footerReference w:type="first" r:id="rId24"/>
      <w:pgSz w:w="11907" w:h="16840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64" w:rsidRDefault="00075B64" w:rsidP="00E0671A">
      <w:r>
        <w:separator/>
      </w:r>
    </w:p>
  </w:endnote>
  <w:endnote w:type="continuationSeparator" w:id="0">
    <w:p w:rsidR="00075B64" w:rsidRDefault="00075B64" w:rsidP="00E0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887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380" w:rsidRDefault="006873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7380" w:rsidRDefault="006873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002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380" w:rsidRDefault="006873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7380" w:rsidRDefault="006873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618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380" w:rsidRDefault="006873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7380" w:rsidRDefault="00687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64" w:rsidRDefault="00075B64" w:rsidP="00E0671A">
      <w:r>
        <w:separator/>
      </w:r>
    </w:p>
  </w:footnote>
  <w:footnote w:type="continuationSeparator" w:id="0">
    <w:p w:rsidR="00075B64" w:rsidRDefault="00075B64" w:rsidP="00E0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0C5"/>
    <w:multiLevelType w:val="multilevel"/>
    <w:tmpl w:val="19DEC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2628B"/>
    <w:multiLevelType w:val="hybridMultilevel"/>
    <w:tmpl w:val="8EEC851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F404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B209B"/>
    <w:multiLevelType w:val="multilevel"/>
    <w:tmpl w:val="D1C290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A5819"/>
    <w:multiLevelType w:val="hybridMultilevel"/>
    <w:tmpl w:val="1404593E"/>
    <w:lvl w:ilvl="0" w:tplc="D5D02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50398"/>
    <w:multiLevelType w:val="hybridMultilevel"/>
    <w:tmpl w:val="97F64B3E"/>
    <w:lvl w:ilvl="0" w:tplc="9BF0BDD2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4E95231"/>
    <w:multiLevelType w:val="multilevel"/>
    <w:tmpl w:val="B79A4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C4E07"/>
    <w:multiLevelType w:val="hybridMultilevel"/>
    <w:tmpl w:val="60C6FAB0"/>
    <w:lvl w:ilvl="0" w:tplc="D5D02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D3EB4"/>
    <w:multiLevelType w:val="hybridMultilevel"/>
    <w:tmpl w:val="278C71B4"/>
    <w:lvl w:ilvl="0" w:tplc="9BF0BD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313CB"/>
    <w:multiLevelType w:val="hybridMultilevel"/>
    <w:tmpl w:val="29AE4E4A"/>
    <w:lvl w:ilvl="0" w:tplc="D5D0205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A4F3F"/>
    <w:multiLevelType w:val="hybridMultilevel"/>
    <w:tmpl w:val="EA706E38"/>
    <w:lvl w:ilvl="0" w:tplc="D5D0205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F474D"/>
    <w:multiLevelType w:val="hybridMultilevel"/>
    <w:tmpl w:val="27BA7676"/>
    <w:lvl w:ilvl="0" w:tplc="9BF0BD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87FC1"/>
    <w:multiLevelType w:val="hybridMultilevel"/>
    <w:tmpl w:val="AAD43010"/>
    <w:lvl w:ilvl="0" w:tplc="0F4045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44235"/>
    <w:multiLevelType w:val="hybridMultilevel"/>
    <w:tmpl w:val="4894AF48"/>
    <w:lvl w:ilvl="0" w:tplc="D5D02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24103"/>
    <w:multiLevelType w:val="hybridMultilevel"/>
    <w:tmpl w:val="242615F0"/>
    <w:lvl w:ilvl="0" w:tplc="D5D020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76D26"/>
    <w:multiLevelType w:val="multilevel"/>
    <w:tmpl w:val="A19C4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5CA1334"/>
    <w:multiLevelType w:val="hybridMultilevel"/>
    <w:tmpl w:val="554821B4"/>
    <w:lvl w:ilvl="0" w:tplc="D5D0205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F404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38440E"/>
    <w:multiLevelType w:val="hybridMultilevel"/>
    <w:tmpl w:val="1432112C"/>
    <w:lvl w:ilvl="0" w:tplc="9BF0BD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87199"/>
    <w:multiLevelType w:val="hybridMultilevel"/>
    <w:tmpl w:val="16EE05DC"/>
    <w:lvl w:ilvl="0" w:tplc="53A2D5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C701C"/>
    <w:multiLevelType w:val="hybridMultilevel"/>
    <w:tmpl w:val="56348470"/>
    <w:lvl w:ilvl="0" w:tplc="D5D02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40167"/>
    <w:multiLevelType w:val="multilevel"/>
    <w:tmpl w:val="E9167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483ECD"/>
    <w:multiLevelType w:val="multilevel"/>
    <w:tmpl w:val="F5186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DD7613"/>
    <w:multiLevelType w:val="hybridMultilevel"/>
    <w:tmpl w:val="A760A9DE"/>
    <w:lvl w:ilvl="0" w:tplc="9BF0BDD2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5421E"/>
    <w:multiLevelType w:val="hybridMultilevel"/>
    <w:tmpl w:val="845AEF86"/>
    <w:lvl w:ilvl="0" w:tplc="D5D02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60D79"/>
    <w:multiLevelType w:val="hybridMultilevel"/>
    <w:tmpl w:val="06C62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E7A44"/>
    <w:multiLevelType w:val="hybridMultilevel"/>
    <w:tmpl w:val="A64ADFF6"/>
    <w:lvl w:ilvl="0" w:tplc="D5D02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D24BA"/>
    <w:multiLevelType w:val="hybridMultilevel"/>
    <w:tmpl w:val="67C8CF5E"/>
    <w:lvl w:ilvl="0" w:tplc="9BF0BD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320A5"/>
    <w:multiLevelType w:val="hybridMultilevel"/>
    <w:tmpl w:val="0AB06F16"/>
    <w:lvl w:ilvl="0" w:tplc="9BF0BD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159C2"/>
    <w:multiLevelType w:val="hybridMultilevel"/>
    <w:tmpl w:val="81D6681E"/>
    <w:lvl w:ilvl="0" w:tplc="D5D02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A5226"/>
    <w:multiLevelType w:val="hybridMultilevel"/>
    <w:tmpl w:val="77F8FA8C"/>
    <w:lvl w:ilvl="0" w:tplc="D5D02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231FE"/>
    <w:multiLevelType w:val="hybridMultilevel"/>
    <w:tmpl w:val="1B120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2431C"/>
    <w:multiLevelType w:val="hybridMultilevel"/>
    <w:tmpl w:val="82B03858"/>
    <w:lvl w:ilvl="0" w:tplc="D5D02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91AE6"/>
    <w:multiLevelType w:val="hybridMultilevel"/>
    <w:tmpl w:val="500A0006"/>
    <w:lvl w:ilvl="0" w:tplc="D5D02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"/>
  </w:num>
  <w:num w:numId="5">
    <w:abstractNumId w:val="13"/>
  </w:num>
  <w:num w:numId="6">
    <w:abstractNumId w:val="17"/>
  </w:num>
  <w:num w:numId="7">
    <w:abstractNumId w:val="23"/>
  </w:num>
  <w:num w:numId="8">
    <w:abstractNumId w:val="22"/>
  </w:num>
  <w:num w:numId="9">
    <w:abstractNumId w:val="18"/>
  </w:num>
  <w:num w:numId="10">
    <w:abstractNumId w:val="7"/>
  </w:num>
  <w:num w:numId="11">
    <w:abstractNumId w:val="16"/>
  </w:num>
  <w:num w:numId="12">
    <w:abstractNumId w:val="19"/>
  </w:num>
  <w:num w:numId="13">
    <w:abstractNumId w:val="5"/>
  </w:num>
  <w:num w:numId="14">
    <w:abstractNumId w:val="2"/>
  </w:num>
  <w:num w:numId="15">
    <w:abstractNumId w:val="28"/>
  </w:num>
  <w:num w:numId="16">
    <w:abstractNumId w:val="6"/>
  </w:num>
  <w:num w:numId="17">
    <w:abstractNumId w:val="3"/>
  </w:num>
  <w:num w:numId="18">
    <w:abstractNumId w:val="12"/>
  </w:num>
  <w:num w:numId="19">
    <w:abstractNumId w:val="24"/>
  </w:num>
  <w:num w:numId="20">
    <w:abstractNumId w:val="31"/>
  </w:num>
  <w:num w:numId="21">
    <w:abstractNumId w:val="26"/>
  </w:num>
  <w:num w:numId="22">
    <w:abstractNumId w:val="20"/>
  </w:num>
  <w:num w:numId="23">
    <w:abstractNumId w:val="0"/>
  </w:num>
  <w:num w:numId="24">
    <w:abstractNumId w:val="25"/>
  </w:num>
  <w:num w:numId="25">
    <w:abstractNumId w:val="10"/>
  </w:num>
  <w:num w:numId="26">
    <w:abstractNumId w:val="4"/>
  </w:num>
  <w:num w:numId="27">
    <w:abstractNumId w:val="21"/>
  </w:num>
  <w:num w:numId="28">
    <w:abstractNumId w:val="8"/>
  </w:num>
  <w:num w:numId="29">
    <w:abstractNumId w:val="30"/>
  </w:num>
  <w:num w:numId="30">
    <w:abstractNumId w:val="27"/>
  </w:num>
  <w:num w:numId="31">
    <w:abstractNumId w:val="9"/>
  </w:num>
  <w:num w:numId="32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9E"/>
    <w:rsid w:val="0000382E"/>
    <w:rsid w:val="00007936"/>
    <w:rsid w:val="00010638"/>
    <w:rsid w:val="00010F93"/>
    <w:rsid w:val="00011AE1"/>
    <w:rsid w:val="000142CE"/>
    <w:rsid w:val="00025462"/>
    <w:rsid w:val="00025D5C"/>
    <w:rsid w:val="00026E9F"/>
    <w:rsid w:val="00027754"/>
    <w:rsid w:val="00032C33"/>
    <w:rsid w:val="00032D2D"/>
    <w:rsid w:val="00032EED"/>
    <w:rsid w:val="00034262"/>
    <w:rsid w:val="00034C52"/>
    <w:rsid w:val="00040EA1"/>
    <w:rsid w:val="0004243D"/>
    <w:rsid w:val="00042B11"/>
    <w:rsid w:val="0004456E"/>
    <w:rsid w:val="00044CC6"/>
    <w:rsid w:val="00044CCF"/>
    <w:rsid w:val="00046264"/>
    <w:rsid w:val="00047AC1"/>
    <w:rsid w:val="0005427F"/>
    <w:rsid w:val="00056594"/>
    <w:rsid w:val="00056F0E"/>
    <w:rsid w:val="0006143B"/>
    <w:rsid w:val="000622A2"/>
    <w:rsid w:val="00062F0D"/>
    <w:rsid w:val="00063EF9"/>
    <w:rsid w:val="000655EC"/>
    <w:rsid w:val="00071223"/>
    <w:rsid w:val="00071420"/>
    <w:rsid w:val="0007386A"/>
    <w:rsid w:val="000758B4"/>
    <w:rsid w:val="00075B64"/>
    <w:rsid w:val="0007620D"/>
    <w:rsid w:val="00077A80"/>
    <w:rsid w:val="00081FFE"/>
    <w:rsid w:val="0008323D"/>
    <w:rsid w:val="00083D94"/>
    <w:rsid w:val="000847B9"/>
    <w:rsid w:val="000851F1"/>
    <w:rsid w:val="00086585"/>
    <w:rsid w:val="000904C4"/>
    <w:rsid w:val="00090584"/>
    <w:rsid w:val="00092B2B"/>
    <w:rsid w:val="00095B5B"/>
    <w:rsid w:val="000965C5"/>
    <w:rsid w:val="000976D3"/>
    <w:rsid w:val="000A0185"/>
    <w:rsid w:val="000A1CE9"/>
    <w:rsid w:val="000A7ECB"/>
    <w:rsid w:val="000B1716"/>
    <w:rsid w:val="000B24D6"/>
    <w:rsid w:val="000B6785"/>
    <w:rsid w:val="000B7A7A"/>
    <w:rsid w:val="000C3032"/>
    <w:rsid w:val="000D02FC"/>
    <w:rsid w:val="000D0632"/>
    <w:rsid w:val="000D527F"/>
    <w:rsid w:val="000E0C6D"/>
    <w:rsid w:val="000E12BA"/>
    <w:rsid w:val="000E15DB"/>
    <w:rsid w:val="000E1E61"/>
    <w:rsid w:val="000E2184"/>
    <w:rsid w:val="000E2718"/>
    <w:rsid w:val="000E3736"/>
    <w:rsid w:val="000E3A41"/>
    <w:rsid w:val="000E3AC5"/>
    <w:rsid w:val="000E44B0"/>
    <w:rsid w:val="000E6045"/>
    <w:rsid w:val="000E641C"/>
    <w:rsid w:val="000F05DE"/>
    <w:rsid w:val="000F2035"/>
    <w:rsid w:val="000F5C27"/>
    <w:rsid w:val="000F6F2A"/>
    <w:rsid w:val="00100274"/>
    <w:rsid w:val="001006FB"/>
    <w:rsid w:val="001016B0"/>
    <w:rsid w:val="001034D4"/>
    <w:rsid w:val="001047C7"/>
    <w:rsid w:val="00104B71"/>
    <w:rsid w:val="00104F6F"/>
    <w:rsid w:val="001050E2"/>
    <w:rsid w:val="00106AF8"/>
    <w:rsid w:val="00111CD6"/>
    <w:rsid w:val="00112ACC"/>
    <w:rsid w:val="00113EE0"/>
    <w:rsid w:val="00116F6A"/>
    <w:rsid w:val="00121BCF"/>
    <w:rsid w:val="00122A23"/>
    <w:rsid w:val="00122A3F"/>
    <w:rsid w:val="001233DD"/>
    <w:rsid w:val="00125233"/>
    <w:rsid w:val="00127EC2"/>
    <w:rsid w:val="00133344"/>
    <w:rsid w:val="001337C6"/>
    <w:rsid w:val="00137635"/>
    <w:rsid w:val="00140010"/>
    <w:rsid w:val="0014090A"/>
    <w:rsid w:val="00141B60"/>
    <w:rsid w:val="00145AA2"/>
    <w:rsid w:val="00145C03"/>
    <w:rsid w:val="00146623"/>
    <w:rsid w:val="00150094"/>
    <w:rsid w:val="00151428"/>
    <w:rsid w:val="001541BD"/>
    <w:rsid w:val="00154BD7"/>
    <w:rsid w:val="00155327"/>
    <w:rsid w:val="00155CAD"/>
    <w:rsid w:val="00156416"/>
    <w:rsid w:val="001569C4"/>
    <w:rsid w:val="00156DE1"/>
    <w:rsid w:val="00156EBB"/>
    <w:rsid w:val="00161606"/>
    <w:rsid w:val="0016415A"/>
    <w:rsid w:val="00164AE8"/>
    <w:rsid w:val="0016684B"/>
    <w:rsid w:val="001669D9"/>
    <w:rsid w:val="00167C46"/>
    <w:rsid w:val="00170264"/>
    <w:rsid w:val="00174BE9"/>
    <w:rsid w:val="00177F5E"/>
    <w:rsid w:val="001821A2"/>
    <w:rsid w:val="001837AE"/>
    <w:rsid w:val="00183F0C"/>
    <w:rsid w:val="001852C8"/>
    <w:rsid w:val="00186F2F"/>
    <w:rsid w:val="001873D4"/>
    <w:rsid w:val="00187C9B"/>
    <w:rsid w:val="00190B76"/>
    <w:rsid w:val="00194359"/>
    <w:rsid w:val="00194AD1"/>
    <w:rsid w:val="00195C9D"/>
    <w:rsid w:val="001A19CA"/>
    <w:rsid w:val="001A2FC2"/>
    <w:rsid w:val="001A3997"/>
    <w:rsid w:val="001A4E35"/>
    <w:rsid w:val="001A52D6"/>
    <w:rsid w:val="001A651F"/>
    <w:rsid w:val="001B077B"/>
    <w:rsid w:val="001B0FEF"/>
    <w:rsid w:val="001B4474"/>
    <w:rsid w:val="001B5F28"/>
    <w:rsid w:val="001B626C"/>
    <w:rsid w:val="001C0915"/>
    <w:rsid w:val="001C46EA"/>
    <w:rsid w:val="001C596E"/>
    <w:rsid w:val="001C5C0E"/>
    <w:rsid w:val="001C66CC"/>
    <w:rsid w:val="001C7DA7"/>
    <w:rsid w:val="001D240A"/>
    <w:rsid w:val="001D475B"/>
    <w:rsid w:val="001D47E4"/>
    <w:rsid w:val="001D5824"/>
    <w:rsid w:val="001D5BBB"/>
    <w:rsid w:val="001D7C0F"/>
    <w:rsid w:val="001D7CDF"/>
    <w:rsid w:val="001E0A89"/>
    <w:rsid w:val="001E12CD"/>
    <w:rsid w:val="001E2043"/>
    <w:rsid w:val="001E3E29"/>
    <w:rsid w:val="001E4CA1"/>
    <w:rsid w:val="001E4F07"/>
    <w:rsid w:val="001E52CC"/>
    <w:rsid w:val="001E69D8"/>
    <w:rsid w:val="001F0881"/>
    <w:rsid w:val="001F089A"/>
    <w:rsid w:val="001F0A26"/>
    <w:rsid w:val="001F23E3"/>
    <w:rsid w:val="001F300A"/>
    <w:rsid w:val="001F7331"/>
    <w:rsid w:val="002027DE"/>
    <w:rsid w:val="00202D05"/>
    <w:rsid w:val="00204962"/>
    <w:rsid w:val="00205D76"/>
    <w:rsid w:val="00207329"/>
    <w:rsid w:val="0020782B"/>
    <w:rsid w:val="0021152F"/>
    <w:rsid w:val="00211693"/>
    <w:rsid w:val="002124B7"/>
    <w:rsid w:val="00221901"/>
    <w:rsid w:val="00221C54"/>
    <w:rsid w:val="002229C2"/>
    <w:rsid w:val="00222DF9"/>
    <w:rsid w:val="00223819"/>
    <w:rsid w:val="002273DF"/>
    <w:rsid w:val="002309CC"/>
    <w:rsid w:val="002310B1"/>
    <w:rsid w:val="0023113F"/>
    <w:rsid w:val="002314E7"/>
    <w:rsid w:val="002317C9"/>
    <w:rsid w:val="00232CF6"/>
    <w:rsid w:val="00233D6C"/>
    <w:rsid w:val="00235545"/>
    <w:rsid w:val="002375F3"/>
    <w:rsid w:val="00240C6A"/>
    <w:rsid w:val="002410AC"/>
    <w:rsid w:val="00241441"/>
    <w:rsid w:val="002419AA"/>
    <w:rsid w:val="00242BF1"/>
    <w:rsid w:val="0024525F"/>
    <w:rsid w:val="0025041B"/>
    <w:rsid w:val="0025132D"/>
    <w:rsid w:val="00251740"/>
    <w:rsid w:val="002555FB"/>
    <w:rsid w:val="00256CEA"/>
    <w:rsid w:val="002621E5"/>
    <w:rsid w:val="00263300"/>
    <w:rsid w:val="00264530"/>
    <w:rsid w:val="00264796"/>
    <w:rsid w:val="00264BA8"/>
    <w:rsid w:val="00270573"/>
    <w:rsid w:val="002706A4"/>
    <w:rsid w:val="00270AC9"/>
    <w:rsid w:val="00271497"/>
    <w:rsid w:val="00273683"/>
    <w:rsid w:val="00274EE4"/>
    <w:rsid w:val="002753D9"/>
    <w:rsid w:val="00277A52"/>
    <w:rsid w:val="002800D8"/>
    <w:rsid w:val="00280F1D"/>
    <w:rsid w:val="00287D19"/>
    <w:rsid w:val="00290CF4"/>
    <w:rsid w:val="0029187B"/>
    <w:rsid w:val="002931F5"/>
    <w:rsid w:val="002935F8"/>
    <w:rsid w:val="00294A99"/>
    <w:rsid w:val="0029556F"/>
    <w:rsid w:val="002A0FBA"/>
    <w:rsid w:val="002A1800"/>
    <w:rsid w:val="002A2C37"/>
    <w:rsid w:val="002A4835"/>
    <w:rsid w:val="002B2057"/>
    <w:rsid w:val="002B2D3C"/>
    <w:rsid w:val="002C0E2A"/>
    <w:rsid w:val="002C17BD"/>
    <w:rsid w:val="002C1C66"/>
    <w:rsid w:val="002C1E74"/>
    <w:rsid w:val="002C40EF"/>
    <w:rsid w:val="002C65AA"/>
    <w:rsid w:val="002D0E63"/>
    <w:rsid w:val="002D2225"/>
    <w:rsid w:val="002D2A41"/>
    <w:rsid w:val="002D2C73"/>
    <w:rsid w:val="002D375A"/>
    <w:rsid w:val="002D402E"/>
    <w:rsid w:val="002D4760"/>
    <w:rsid w:val="002D5511"/>
    <w:rsid w:val="002D5BA1"/>
    <w:rsid w:val="002D5C6D"/>
    <w:rsid w:val="002D6D17"/>
    <w:rsid w:val="002D75BE"/>
    <w:rsid w:val="002E0222"/>
    <w:rsid w:val="002E2718"/>
    <w:rsid w:val="002E5FD6"/>
    <w:rsid w:val="002E79CB"/>
    <w:rsid w:val="002F5327"/>
    <w:rsid w:val="002F5989"/>
    <w:rsid w:val="002F5A20"/>
    <w:rsid w:val="00301BFC"/>
    <w:rsid w:val="00301C9D"/>
    <w:rsid w:val="00301D65"/>
    <w:rsid w:val="003040B4"/>
    <w:rsid w:val="003060BD"/>
    <w:rsid w:val="00306E2E"/>
    <w:rsid w:val="0030732F"/>
    <w:rsid w:val="0031006C"/>
    <w:rsid w:val="00311084"/>
    <w:rsid w:val="0031227E"/>
    <w:rsid w:val="00312CAE"/>
    <w:rsid w:val="00316161"/>
    <w:rsid w:val="003162A6"/>
    <w:rsid w:val="00322036"/>
    <w:rsid w:val="00322562"/>
    <w:rsid w:val="00322AB5"/>
    <w:rsid w:val="00323CEC"/>
    <w:rsid w:val="00324FAA"/>
    <w:rsid w:val="00327858"/>
    <w:rsid w:val="00333E74"/>
    <w:rsid w:val="00335095"/>
    <w:rsid w:val="00335158"/>
    <w:rsid w:val="00340954"/>
    <w:rsid w:val="0034210D"/>
    <w:rsid w:val="00343B89"/>
    <w:rsid w:val="00350433"/>
    <w:rsid w:val="00351312"/>
    <w:rsid w:val="00351513"/>
    <w:rsid w:val="00352A0B"/>
    <w:rsid w:val="00357338"/>
    <w:rsid w:val="0036271B"/>
    <w:rsid w:val="003632D8"/>
    <w:rsid w:val="0036342F"/>
    <w:rsid w:val="00363DEC"/>
    <w:rsid w:val="00365019"/>
    <w:rsid w:val="00365BD8"/>
    <w:rsid w:val="0036644D"/>
    <w:rsid w:val="00366C4B"/>
    <w:rsid w:val="00366D04"/>
    <w:rsid w:val="0036735F"/>
    <w:rsid w:val="00371474"/>
    <w:rsid w:val="0037665C"/>
    <w:rsid w:val="00377270"/>
    <w:rsid w:val="003775B4"/>
    <w:rsid w:val="00380142"/>
    <w:rsid w:val="003801BD"/>
    <w:rsid w:val="00380208"/>
    <w:rsid w:val="00380BA4"/>
    <w:rsid w:val="00382DA6"/>
    <w:rsid w:val="003860B2"/>
    <w:rsid w:val="00386716"/>
    <w:rsid w:val="0038695A"/>
    <w:rsid w:val="0039097F"/>
    <w:rsid w:val="00392C43"/>
    <w:rsid w:val="003936E8"/>
    <w:rsid w:val="003939D3"/>
    <w:rsid w:val="00393D2C"/>
    <w:rsid w:val="00394E00"/>
    <w:rsid w:val="00395BE4"/>
    <w:rsid w:val="003A0C12"/>
    <w:rsid w:val="003A23E4"/>
    <w:rsid w:val="003A4B5D"/>
    <w:rsid w:val="003A521D"/>
    <w:rsid w:val="003A5293"/>
    <w:rsid w:val="003A5DB7"/>
    <w:rsid w:val="003B032D"/>
    <w:rsid w:val="003B177A"/>
    <w:rsid w:val="003B17BB"/>
    <w:rsid w:val="003B1D17"/>
    <w:rsid w:val="003B4FD0"/>
    <w:rsid w:val="003C1048"/>
    <w:rsid w:val="003C2FF1"/>
    <w:rsid w:val="003C30D1"/>
    <w:rsid w:val="003C3BFD"/>
    <w:rsid w:val="003C4933"/>
    <w:rsid w:val="003D3566"/>
    <w:rsid w:val="003D6277"/>
    <w:rsid w:val="003D6FCE"/>
    <w:rsid w:val="003E005F"/>
    <w:rsid w:val="003E12C9"/>
    <w:rsid w:val="003E1A82"/>
    <w:rsid w:val="003E23CB"/>
    <w:rsid w:val="003E346C"/>
    <w:rsid w:val="003E59E7"/>
    <w:rsid w:val="003E706F"/>
    <w:rsid w:val="003E7F40"/>
    <w:rsid w:val="003F0B1E"/>
    <w:rsid w:val="003F0C12"/>
    <w:rsid w:val="003F6887"/>
    <w:rsid w:val="003F7135"/>
    <w:rsid w:val="00411905"/>
    <w:rsid w:val="00412919"/>
    <w:rsid w:val="00413435"/>
    <w:rsid w:val="00413474"/>
    <w:rsid w:val="004146E4"/>
    <w:rsid w:val="00415BFE"/>
    <w:rsid w:val="00416C0F"/>
    <w:rsid w:val="0041748D"/>
    <w:rsid w:val="004213BC"/>
    <w:rsid w:val="004215C4"/>
    <w:rsid w:val="0042568E"/>
    <w:rsid w:val="00430DB7"/>
    <w:rsid w:val="00433DFB"/>
    <w:rsid w:val="00434109"/>
    <w:rsid w:val="00434A38"/>
    <w:rsid w:val="0043548A"/>
    <w:rsid w:val="00435649"/>
    <w:rsid w:val="0044098C"/>
    <w:rsid w:val="004438E9"/>
    <w:rsid w:val="00443B83"/>
    <w:rsid w:val="00444892"/>
    <w:rsid w:val="00445E84"/>
    <w:rsid w:val="004462AB"/>
    <w:rsid w:val="004464A4"/>
    <w:rsid w:val="004464AB"/>
    <w:rsid w:val="00451CB1"/>
    <w:rsid w:val="004522EF"/>
    <w:rsid w:val="00452F6C"/>
    <w:rsid w:val="00453A93"/>
    <w:rsid w:val="00456191"/>
    <w:rsid w:val="004562C2"/>
    <w:rsid w:val="00456BAB"/>
    <w:rsid w:val="004600B6"/>
    <w:rsid w:val="0046057F"/>
    <w:rsid w:val="00461096"/>
    <w:rsid w:val="00462404"/>
    <w:rsid w:val="004627D9"/>
    <w:rsid w:val="004639F6"/>
    <w:rsid w:val="00463AA5"/>
    <w:rsid w:val="00466D60"/>
    <w:rsid w:val="004723BE"/>
    <w:rsid w:val="004732BC"/>
    <w:rsid w:val="00474385"/>
    <w:rsid w:val="004743B2"/>
    <w:rsid w:val="00477BEE"/>
    <w:rsid w:val="00481C65"/>
    <w:rsid w:val="0048293A"/>
    <w:rsid w:val="00483994"/>
    <w:rsid w:val="004863C7"/>
    <w:rsid w:val="00486AA7"/>
    <w:rsid w:val="00486B82"/>
    <w:rsid w:val="00492C5C"/>
    <w:rsid w:val="00492CCE"/>
    <w:rsid w:val="00492FA8"/>
    <w:rsid w:val="004939A8"/>
    <w:rsid w:val="0049492E"/>
    <w:rsid w:val="004966E9"/>
    <w:rsid w:val="00496C5F"/>
    <w:rsid w:val="00496D51"/>
    <w:rsid w:val="00497649"/>
    <w:rsid w:val="004A241A"/>
    <w:rsid w:val="004A3113"/>
    <w:rsid w:val="004A7660"/>
    <w:rsid w:val="004B07F7"/>
    <w:rsid w:val="004B0C89"/>
    <w:rsid w:val="004B7392"/>
    <w:rsid w:val="004C14C4"/>
    <w:rsid w:val="004C3B3C"/>
    <w:rsid w:val="004C4737"/>
    <w:rsid w:val="004C6BAC"/>
    <w:rsid w:val="004C6C71"/>
    <w:rsid w:val="004D3DAC"/>
    <w:rsid w:val="004D3DF7"/>
    <w:rsid w:val="004D408D"/>
    <w:rsid w:val="004D49A5"/>
    <w:rsid w:val="004E07AD"/>
    <w:rsid w:val="004E376E"/>
    <w:rsid w:val="004E39FD"/>
    <w:rsid w:val="004E3D52"/>
    <w:rsid w:val="004E6C35"/>
    <w:rsid w:val="004E6F13"/>
    <w:rsid w:val="004E7D53"/>
    <w:rsid w:val="004F12E3"/>
    <w:rsid w:val="004F215B"/>
    <w:rsid w:val="004F246D"/>
    <w:rsid w:val="004F4721"/>
    <w:rsid w:val="004F788C"/>
    <w:rsid w:val="0050010E"/>
    <w:rsid w:val="00500EF6"/>
    <w:rsid w:val="00502096"/>
    <w:rsid w:val="005048FF"/>
    <w:rsid w:val="00504EC0"/>
    <w:rsid w:val="00504F35"/>
    <w:rsid w:val="005124FC"/>
    <w:rsid w:val="00516C7B"/>
    <w:rsid w:val="00521BD2"/>
    <w:rsid w:val="00522580"/>
    <w:rsid w:val="00523B2F"/>
    <w:rsid w:val="0053083D"/>
    <w:rsid w:val="005315BB"/>
    <w:rsid w:val="0053244A"/>
    <w:rsid w:val="00532DC5"/>
    <w:rsid w:val="00533913"/>
    <w:rsid w:val="005346C2"/>
    <w:rsid w:val="00534EC3"/>
    <w:rsid w:val="005355B3"/>
    <w:rsid w:val="00537C68"/>
    <w:rsid w:val="00540D98"/>
    <w:rsid w:val="00541261"/>
    <w:rsid w:val="00541A50"/>
    <w:rsid w:val="00542260"/>
    <w:rsid w:val="00542644"/>
    <w:rsid w:val="00545FFF"/>
    <w:rsid w:val="005518FB"/>
    <w:rsid w:val="00551E63"/>
    <w:rsid w:val="00552491"/>
    <w:rsid w:val="0055251A"/>
    <w:rsid w:val="00555923"/>
    <w:rsid w:val="00556D70"/>
    <w:rsid w:val="0056209A"/>
    <w:rsid w:val="00563111"/>
    <w:rsid w:val="00565BB5"/>
    <w:rsid w:val="00571AC0"/>
    <w:rsid w:val="00571E50"/>
    <w:rsid w:val="00573A4C"/>
    <w:rsid w:val="00574D0D"/>
    <w:rsid w:val="00574D83"/>
    <w:rsid w:val="00576617"/>
    <w:rsid w:val="00576768"/>
    <w:rsid w:val="00576CEE"/>
    <w:rsid w:val="00577955"/>
    <w:rsid w:val="00580A8C"/>
    <w:rsid w:val="005821CF"/>
    <w:rsid w:val="00582889"/>
    <w:rsid w:val="005835E8"/>
    <w:rsid w:val="00586B42"/>
    <w:rsid w:val="005879BA"/>
    <w:rsid w:val="005929A4"/>
    <w:rsid w:val="0059408A"/>
    <w:rsid w:val="00594180"/>
    <w:rsid w:val="0059419D"/>
    <w:rsid w:val="005949A7"/>
    <w:rsid w:val="00597754"/>
    <w:rsid w:val="005A1819"/>
    <w:rsid w:val="005A4EC5"/>
    <w:rsid w:val="005A52C7"/>
    <w:rsid w:val="005A5931"/>
    <w:rsid w:val="005A6581"/>
    <w:rsid w:val="005B0F8D"/>
    <w:rsid w:val="005B196A"/>
    <w:rsid w:val="005B2E3F"/>
    <w:rsid w:val="005B4A7F"/>
    <w:rsid w:val="005B5356"/>
    <w:rsid w:val="005B571F"/>
    <w:rsid w:val="005B60EF"/>
    <w:rsid w:val="005B715D"/>
    <w:rsid w:val="005B7604"/>
    <w:rsid w:val="005C0749"/>
    <w:rsid w:val="005C3936"/>
    <w:rsid w:val="005C3A94"/>
    <w:rsid w:val="005C3CFE"/>
    <w:rsid w:val="005C4D91"/>
    <w:rsid w:val="005C5187"/>
    <w:rsid w:val="005C56B8"/>
    <w:rsid w:val="005C5AD6"/>
    <w:rsid w:val="005C7170"/>
    <w:rsid w:val="005D023D"/>
    <w:rsid w:val="005D16E0"/>
    <w:rsid w:val="005D39ED"/>
    <w:rsid w:val="005D3F6B"/>
    <w:rsid w:val="005D450F"/>
    <w:rsid w:val="005D75E4"/>
    <w:rsid w:val="005E15F8"/>
    <w:rsid w:val="005E1AE8"/>
    <w:rsid w:val="005E1ED7"/>
    <w:rsid w:val="005E27F4"/>
    <w:rsid w:val="005E38DF"/>
    <w:rsid w:val="005E4041"/>
    <w:rsid w:val="005E507F"/>
    <w:rsid w:val="005F17EB"/>
    <w:rsid w:val="005F1A72"/>
    <w:rsid w:val="005F3460"/>
    <w:rsid w:val="005F35EC"/>
    <w:rsid w:val="005F379C"/>
    <w:rsid w:val="005F3CB1"/>
    <w:rsid w:val="005F43F9"/>
    <w:rsid w:val="005F7CC1"/>
    <w:rsid w:val="006012EF"/>
    <w:rsid w:val="00603972"/>
    <w:rsid w:val="00604333"/>
    <w:rsid w:val="0060586D"/>
    <w:rsid w:val="00605F65"/>
    <w:rsid w:val="00607987"/>
    <w:rsid w:val="00607B19"/>
    <w:rsid w:val="006103A9"/>
    <w:rsid w:val="0061187D"/>
    <w:rsid w:val="00611CFD"/>
    <w:rsid w:val="00613B2E"/>
    <w:rsid w:val="00614432"/>
    <w:rsid w:val="00615D76"/>
    <w:rsid w:val="00617450"/>
    <w:rsid w:val="00617FA4"/>
    <w:rsid w:val="00622520"/>
    <w:rsid w:val="00622A98"/>
    <w:rsid w:val="0062465A"/>
    <w:rsid w:val="00631190"/>
    <w:rsid w:val="00632095"/>
    <w:rsid w:val="00632B98"/>
    <w:rsid w:val="006365FA"/>
    <w:rsid w:val="00637E56"/>
    <w:rsid w:val="006406FF"/>
    <w:rsid w:val="0064293D"/>
    <w:rsid w:val="00646F52"/>
    <w:rsid w:val="00647570"/>
    <w:rsid w:val="0065080F"/>
    <w:rsid w:val="006513FB"/>
    <w:rsid w:val="0065209C"/>
    <w:rsid w:val="00652F50"/>
    <w:rsid w:val="006538B4"/>
    <w:rsid w:val="0065490B"/>
    <w:rsid w:val="006559F1"/>
    <w:rsid w:val="00656A21"/>
    <w:rsid w:val="00657AA0"/>
    <w:rsid w:val="00664CF1"/>
    <w:rsid w:val="00665C1D"/>
    <w:rsid w:val="00666436"/>
    <w:rsid w:val="006704E2"/>
    <w:rsid w:val="006724B2"/>
    <w:rsid w:val="00672F36"/>
    <w:rsid w:val="0067392B"/>
    <w:rsid w:val="00675D24"/>
    <w:rsid w:val="00677561"/>
    <w:rsid w:val="006777CC"/>
    <w:rsid w:val="00680860"/>
    <w:rsid w:val="00687380"/>
    <w:rsid w:val="00687ECE"/>
    <w:rsid w:val="00693CD4"/>
    <w:rsid w:val="006949E0"/>
    <w:rsid w:val="0069555B"/>
    <w:rsid w:val="0069593C"/>
    <w:rsid w:val="00696ED3"/>
    <w:rsid w:val="006979C4"/>
    <w:rsid w:val="006A281A"/>
    <w:rsid w:val="006A2EDD"/>
    <w:rsid w:val="006A3FB0"/>
    <w:rsid w:val="006A4DC6"/>
    <w:rsid w:val="006A60ED"/>
    <w:rsid w:val="006A6AB1"/>
    <w:rsid w:val="006A7573"/>
    <w:rsid w:val="006B01D4"/>
    <w:rsid w:val="006B08F8"/>
    <w:rsid w:val="006B24E1"/>
    <w:rsid w:val="006B4867"/>
    <w:rsid w:val="006B5FD2"/>
    <w:rsid w:val="006B6097"/>
    <w:rsid w:val="006B6DFB"/>
    <w:rsid w:val="006B6F4B"/>
    <w:rsid w:val="006B7775"/>
    <w:rsid w:val="006B7956"/>
    <w:rsid w:val="006C3212"/>
    <w:rsid w:val="006C3C09"/>
    <w:rsid w:val="006C3C83"/>
    <w:rsid w:val="006C5594"/>
    <w:rsid w:val="006C5C3E"/>
    <w:rsid w:val="006C6162"/>
    <w:rsid w:val="006C687F"/>
    <w:rsid w:val="006D1344"/>
    <w:rsid w:val="006D1799"/>
    <w:rsid w:val="006D17CF"/>
    <w:rsid w:val="006D26F3"/>
    <w:rsid w:val="006D48AD"/>
    <w:rsid w:val="006D64F7"/>
    <w:rsid w:val="006E0A4F"/>
    <w:rsid w:val="006E308D"/>
    <w:rsid w:val="006E4D64"/>
    <w:rsid w:val="006E4DF8"/>
    <w:rsid w:val="006E4F17"/>
    <w:rsid w:val="006E753E"/>
    <w:rsid w:val="006E75FE"/>
    <w:rsid w:val="006E776E"/>
    <w:rsid w:val="006F01B4"/>
    <w:rsid w:val="006F3F78"/>
    <w:rsid w:val="006F5462"/>
    <w:rsid w:val="006F5571"/>
    <w:rsid w:val="006F57AD"/>
    <w:rsid w:val="006F7B7A"/>
    <w:rsid w:val="0070171F"/>
    <w:rsid w:val="00701F8F"/>
    <w:rsid w:val="00703498"/>
    <w:rsid w:val="007035C5"/>
    <w:rsid w:val="00703718"/>
    <w:rsid w:val="0070529F"/>
    <w:rsid w:val="00706B7E"/>
    <w:rsid w:val="00712AC5"/>
    <w:rsid w:val="00715839"/>
    <w:rsid w:val="00717A95"/>
    <w:rsid w:val="007212BD"/>
    <w:rsid w:val="0072144A"/>
    <w:rsid w:val="007240F4"/>
    <w:rsid w:val="00724981"/>
    <w:rsid w:val="00724990"/>
    <w:rsid w:val="0072575C"/>
    <w:rsid w:val="00726A83"/>
    <w:rsid w:val="007319AC"/>
    <w:rsid w:val="0073484C"/>
    <w:rsid w:val="0074035A"/>
    <w:rsid w:val="007421BB"/>
    <w:rsid w:val="00742B1F"/>
    <w:rsid w:val="0074522E"/>
    <w:rsid w:val="0074776D"/>
    <w:rsid w:val="00747B3C"/>
    <w:rsid w:val="00747CC2"/>
    <w:rsid w:val="007513AC"/>
    <w:rsid w:val="00751765"/>
    <w:rsid w:val="00751EAA"/>
    <w:rsid w:val="00753A36"/>
    <w:rsid w:val="007544B6"/>
    <w:rsid w:val="0076153C"/>
    <w:rsid w:val="00761580"/>
    <w:rsid w:val="00765157"/>
    <w:rsid w:val="00766596"/>
    <w:rsid w:val="00766707"/>
    <w:rsid w:val="007667C3"/>
    <w:rsid w:val="007671F8"/>
    <w:rsid w:val="00770045"/>
    <w:rsid w:val="00770543"/>
    <w:rsid w:val="00771075"/>
    <w:rsid w:val="007714BB"/>
    <w:rsid w:val="00771EA2"/>
    <w:rsid w:val="00772DB9"/>
    <w:rsid w:val="007731FC"/>
    <w:rsid w:val="00774695"/>
    <w:rsid w:val="0077589D"/>
    <w:rsid w:val="00775BFB"/>
    <w:rsid w:val="00777A3D"/>
    <w:rsid w:val="00780489"/>
    <w:rsid w:val="007811AB"/>
    <w:rsid w:val="007819B7"/>
    <w:rsid w:val="007825C9"/>
    <w:rsid w:val="00782E7E"/>
    <w:rsid w:val="00786CF7"/>
    <w:rsid w:val="00796575"/>
    <w:rsid w:val="00796D06"/>
    <w:rsid w:val="007978E4"/>
    <w:rsid w:val="007A0F35"/>
    <w:rsid w:val="007A1E75"/>
    <w:rsid w:val="007A2F71"/>
    <w:rsid w:val="007A33C0"/>
    <w:rsid w:val="007A6E9E"/>
    <w:rsid w:val="007B31BC"/>
    <w:rsid w:val="007B3201"/>
    <w:rsid w:val="007B781C"/>
    <w:rsid w:val="007C08F1"/>
    <w:rsid w:val="007C0A70"/>
    <w:rsid w:val="007C37E9"/>
    <w:rsid w:val="007C4CB0"/>
    <w:rsid w:val="007C6707"/>
    <w:rsid w:val="007C6C09"/>
    <w:rsid w:val="007C7791"/>
    <w:rsid w:val="007D036B"/>
    <w:rsid w:val="007D08A9"/>
    <w:rsid w:val="007D1348"/>
    <w:rsid w:val="007E49B2"/>
    <w:rsid w:val="007F1587"/>
    <w:rsid w:val="007F22C7"/>
    <w:rsid w:val="007F305F"/>
    <w:rsid w:val="007F3519"/>
    <w:rsid w:val="007F3DE0"/>
    <w:rsid w:val="007F413D"/>
    <w:rsid w:val="007F4392"/>
    <w:rsid w:val="007F4A42"/>
    <w:rsid w:val="007F5E1C"/>
    <w:rsid w:val="007F6B0E"/>
    <w:rsid w:val="00800172"/>
    <w:rsid w:val="0080588F"/>
    <w:rsid w:val="00805C5A"/>
    <w:rsid w:val="008123D9"/>
    <w:rsid w:val="0081428F"/>
    <w:rsid w:val="00814362"/>
    <w:rsid w:val="008149A6"/>
    <w:rsid w:val="00815190"/>
    <w:rsid w:val="008167CE"/>
    <w:rsid w:val="008179BF"/>
    <w:rsid w:val="008214E8"/>
    <w:rsid w:val="008222BF"/>
    <w:rsid w:val="00823392"/>
    <w:rsid w:val="008235A9"/>
    <w:rsid w:val="00825E82"/>
    <w:rsid w:val="00826A31"/>
    <w:rsid w:val="00831227"/>
    <w:rsid w:val="00832316"/>
    <w:rsid w:val="0083373E"/>
    <w:rsid w:val="008350E4"/>
    <w:rsid w:val="00840C3A"/>
    <w:rsid w:val="00844D78"/>
    <w:rsid w:val="00846582"/>
    <w:rsid w:val="008468E8"/>
    <w:rsid w:val="008529B7"/>
    <w:rsid w:val="008537CF"/>
    <w:rsid w:val="008539DF"/>
    <w:rsid w:val="00854E64"/>
    <w:rsid w:val="0085580A"/>
    <w:rsid w:val="00860E79"/>
    <w:rsid w:val="00861BA9"/>
    <w:rsid w:val="008628C7"/>
    <w:rsid w:val="008656A7"/>
    <w:rsid w:val="00866E89"/>
    <w:rsid w:val="00867E96"/>
    <w:rsid w:val="008717B8"/>
    <w:rsid w:val="0087215C"/>
    <w:rsid w:val="0087230D"/>
    <w:rsid w:val="00872F7F"/>
    <w:rsid w:val="00873D49"/>
    <w:rsid w:val="00874F7C"/>
    <w:rsid w:val="00876560"/>
    <w:rsid w:val="00877B8C"/>
    <w:rsid w:val="008806A1"/>
    <w:rsid w:val="008807E4"/>
    <w:rsid w:val="0088209A"/>
    <w:rsid w:val="008828CB"/>
    <w:rsid w:val="00882DD5"/>
    <w:rsid w:val="00883347"/>
    <w:rsid w:val="00884079"/>
    <w:rsid w:val="00884678"/>
    <w:rsid w:val="00885F1D"/>
    <w:rsid w:val="00887E39"/>
    <w:rsid w:val="00892910"/>
    <w:rsid w:val="008937E6"/>
    <w:rsid w:val="00893D00"/>
    <w:rsid w:val="008944C6"/>
    <w:rsid w:val="0089543B"/>
    <w:rsid w:val="008A00AF"/>
    <w:rsid w:val="008A0A95"/>
    <w:rsid w:val="008A13C9"/>
    <w:rsid w:val="008A1511"/>
    <w:rsid w:val="008A3AE1"/>
    <w:rsid w:val="008A564D"/>
    <w:rsid w:val="008A5EE8"/>
    <w:rsid w:val="008A60CD"/>
    <w:rsid w:val="008A6135"/>
    <w:rsid w:val="008A7515"/>
    <w:rsid w:val="008B161F"/>
    <w:rsid w:val="008B1754"/>
    <w:rsid w:val="008B1AB7"/>
    <w:rsid w:val="008B28AF"/>
    <w:rsid w:val="008C0428"/>
    <w:rsid w:val="008C08B9"/>
    <w:rsid w:val="008C379C"/>
    <w:rsid w:val="008C6AB8"/>
    <w:rsid w:val="008C7282"/>
    <w:rsid w:val="008C7918"/>
    <w:rsid w:val="008D0D8E"/>
    <w:rsid w:val="008D28B9"/>
    <w:rsid w:val="008D2BFF"/>
    <w:rsid w:val="008D3DAA"/>
    <w:rsid w:val="008D5183"/>
    <w:rsid w:val="008D5634"/>
    <w:rsid w:val="008D6C07"/>
    <w:rsid w:val="008E1835"/>
    <w:rsid w:val="008E3A29"/>
    <w:rsid w:val="008E4CD5"/>
    <w:rsid w:val="008E761E"/>
    <w:rsid w:val="008E76B8"/>
    <w:rsid w:val="008F0560"/>
    <w:rsid w:val="008F078B"/>
    <w:rsid w:val="008F0B5F"/>
    <w:rsid w:val="008F0F59"/>
    <w:rsid w:val="008F16C5"/>
    <w:rsid w:val="008F2995"/>
    <w:rsid w:val="008F340D"/>
    <w:rsid w:val="008F345A"/>
    <w:rsid w:val="008F3638"/>
    <w:rsid w:val="008F45B0"/>
    <w:rsid w:val="008F5163"/>
    <w:rsid w:val="009067A0"/>
    <w:rsid w:val="009074F1"/>
    <w:rsid w:val="00907E79"/>
    <w:rsid w:val="00913D01"/>
    <w:rsid w:val="009149DD"/>
    <w:rsid w:val="00921B99"/>
    <w:rsid w:val="00922F2C"/>
    <w:rsid w:val="00923DA5"/>
    <w:rsid w:val="00924A77"/>
    <w:rsid w:val="00924F4E"/>
    <w:rsid w:val="00926C7E"/>
    <w:rsid w:val="0093395C"/>
    <w:rsid w:val="00933C04"/>
    <w:rsid w:val="0093485D"/>
    <w:rsid w:val="00935465"/>
    <w:rsid w:val="00935D31"/>
    <w:rsid w:val="0093677C"/>
    <w:rsid w:val="00936FEC"/>
    <w:rsid w:val="009419B3"/>
    <w:rsid w:val="009434A7"/>
    <w:rsid w:val="00944E08"/>
    <w:rsid w:val="009453B6"/>
    <w:rsid w:val="00946C45"/>
    <w:rsid w:val="00950CE1"/>
    <w:rsid w:val="009515E8"/>
    <w:rsid w:val="00952255"/>
    <w:rsid w:val="00954BB2"/>
    <w:rsid w:val="00954D79"/>
    <w:rsid w:val="00956074"/>
    <w:rsid w:val="0096093C"/>
    <w:rsid w:val="009610B8"/>
    <w:rsid w:val="00961DFC"/>
    <w:rsid w:val="009626DE"/>
    <w:rsid w:val="009629B3"/>
    <w:rsid w:val="00963244"/>
    <w:rsid w:val="00971BE7"/>
    <w:rsid w:val="0097449D"/>
    <w:rsid w:val="0097565B"/>
    <w:rsid w:val="00977CD4"/>
    <w:rsid w:val="009804EB"/>
    <w:rsid w:val="00982048"/>
    <w:rsid w:val="00984B5B"/>
    <w:rsid w:val="00986A29"/>
    <w:rsid w:val="00990B4B"/>
    <w:rsid w:val="00991C1C"/>
    <w:rsid w:val="00992775"/>
    <w:rsid w:val="009929AF"/>
    <w:rsid w:val="00992FD6"/>
    <w:rsid w:val="00993240"/>
    <w:rsid w:val="009939A0"/>
    <w:rsid w:val="00994B3B"/>
    <w:rsid w:val="0099696A"/>
    <w:rsid w:val="009969AA"/>
    <w:rsid w:val="009A0086"/>
    <w:rsid w:val="009A2403"/>
    <w:rsid w:val="009A3E65"/>
    <w:rsid w:val="009A6543"/>
    <w:rsid w:val="009A679D"/>
    <w:rsid w:val="009A6FF2"/>
    <w:rsid w:val="009B2889"/>
    <w:rsid w:val="009B6CD1"/>
    <w:rsid w:val="009C0C23"/>
    <w:rsid w:val="009C3157"/>
    <w:rsid w:val="009C5187"/>
    <w:rsid w:val="009C7B96"/>
    <w:rsid w:val="009C7C46"/>
    <w:rsid w:val="009C7D0F"/>
    <w:rsid w:val="009D0B58"/>
    <w:rsid w:val="009D3A6A"/>
    <w:rsid w:val="009D5655"/>
    <w:rsid w:val="009D5831"/>
    <w:rsid w:val="009D6201"/>
    <w:rsid w:val="009D64DF"/>
    <w:rsid w:val="009D784F"/>
    <w:rsid w:val="009E2769"/>
    <w:rsid w:val="009E334C"/>
    <w:rsid w:val="009E550F"/>
    <w:rsid w:val="009E6D98"/>
    <w:rsid w:val="009E79DA"/>
    <w:rsid w:val="009F04A2"/>
    <w:rsid w:val="009F204A"/>
    <w:rsid w:val="009F272B"/>
    <w:rsid w:val="009F35AA"/>
    <w:rsid w:val="00A006BB"/>
    <w:rsid w:val="00A0130A"/>
    <w:rsid w:val="00A026C1"/>
    <w:rsid w:val="00A02A65"/>
    <w:rsid w:val="00A04167"/>
    <w:rsid w:val="00A0764C"/>
    <w:rsid w:val="00A12AC7"/>
    <w:rsid w:val="00A13E45"/>
    <w:rsid w:val="00A1431D"/>
    <w:rsid w:val="00A14FA8"/>
    <w:rsid w:val="00A17B73"/>
    <w:rsid w:val="00A213B3"/>
    <w:rsid w:val="00A22222"/>
    <w:rsid w:val="00A252EF"/>
    <w:rsid w:val="00A27E2B"/>
    <w:rsid w:val="00A27EDA"/>
    <w:rsid w:val="00A35063"/>
    <w:rsid w:val="00A36776"/>
    <w:rsid w:val="00A36A3B"/>
    <w:rsid w:val="00A37A79"/>
    <w:rsid w:val="00A402FE"/>
    <w:rsid w:val="00A40556"/>
    <w:rsid w:val="00A40DAB"/>
    <w:rsid w:val="00A40DF7"/>
    <w:rsid w:val="00A44E19"/>
    <w:rsid w:val="00A53CC8"/>
    <w:rsid w:val="00A55021"/>
    <w:rsid w:val="00A5527B"/>
    <w:rsid w:val="00A55D32"/>
    <w:rsid w:val="00A62492"/>
    <w:rsid w:val="00A62DB2"/>
    <w:rsid w:val="00A63294"/>
    <w:rsid w:val="00A64F7A"/>
    <w:rsid w:val="00A65506"/>
    <w:rsid w:val="00A65A29"/>
    <w:rsid w:val="00A66049"/>
    <w:rsid w:val="00A66970"/>
    <w:rsid w:val="00A67493"/>
    <w:rsid w:val="00A675D7"/>
    <w:rsid w:val="00A72D88"/>
    <w:rsid w:val="00A7333B"/>
    <w:rsid w:val="00A73FDF"/>
    <w:rsid w:val="00A76185"/>
    <w:rsid w:val="00A76E4A"/>
    <w:rsid w:val="00A77E3B"/>
    <w:rsid w:val="00A85581"/>
    <w:rsid w:val="00A87432"/>
    <w:rsid w:val="00A925E2"/>
    <w:rsid w:val="00A928FB"/>
    <w:rsid w:val="00A9398F"/>
    <w:rsid w:val="00A94F39"/>
    <w:rsid w:val="00A95415"/>
    <w:rsid w:val="00A95A0B"/>
    <w:rsid w:val="00AA057A"/>
    <w:rsid w:val="00AA3AEF"/>
    <w:rsid w:val="00AA502D"/>
    <w:rsid w:val="00AA5632"/>
    <w:rsid w:val="00AA5990"/>
    <w:rsid w:val="00AA6686"/>
    <w:rsid w:val="00AA6A72"/>
    <w:rsid w:val="00AA6AD4"/>
    <w:rsid w:val="00AA7972"/>
    <w:rsid w:val="00AB0688"/>
    <w:rsid w:val="00AB2473"/>
    <w:rsid w:val="00AB3E9C"/>
    <w:rsid w:val="00AB442D"/>
    <w:rsid w:val="00AB4488"/>
    <w:rsid w:val="00AB560B"/>
    <w:rsid w:val="00AB7644"/>
    <w:rsid w:val="00AC036A"/>
    <w:rsid w:val="00AC15A4"/>
    <w:rsid w:val="00AC1984"/>
    <w:rsid w:val="00AC216D"/>
    <w:rsid w:val="00AC3D34"/>
    <w:rsid w:val="00AC5839"/>
    <w:rsid w:val="00AC6FF1"/>
    <w:rsid w:val="00AD2A9A"/>
    <w:rsid w:val="00AD4388"/>
    <w:rsid w:val="00AD78BA"/>
    <w:rsid w:val="00AE2AED"/>
    <w:rsid w:val="00AE2B08"/>
    <w:rsid w:val="00AE3355"/>
    <w:rsid w:val="00AE3789"/>
    <w:rsid w:val="00AE50F1"/>
    <w:rsid w:val="00AE6244"/>
    <w:rsid w:val="00AF12C2"/>
    <w:rsid w:val="00AF14C5"/>
    <w:rsid w:val="00AF1565"/>
    <w:rsid w:val="00AF1CA3"/>
    <w:rsid w:val="00AF725C"/>
    <w:rsid w:val="00B001D6"/>
    <w:rsid w:val="00B005BB"/>
    <w:rsid w:val="00B033DB"/>
    <w:rsid w:val="00B038D7"/>
    <w:rsid w:val="00B04CD7"/>
    <w:rsid w:val="00B07B13"/>
    <w:rsid w:val="00B07D5B"/>
    <w:rsid w:val="00B12D33"/>
    <w:rsid w:val="00B13BA2"/>
    <w:rsid w:val="00B14F93"/>
    <w:rsid w:val="00B15266"/>
    <w:rsid w:val="00B16303"/>
    <w:rsid w:val="00B17815"/>
    <w:rsid w:val="00B179A7"/>
    <w:rsid w:val="00B20321"/>
    <w:rsid w:val="00B21446"/>
    <w:rsid w:val="00B21F60"/>
    <w:rsid w:val="00B22EF1"/>
    <w:rsid w:val="00B301E9"/>
    <w:rsid w:val="00B306F8"/>
    <w:rsid w:val="00B30999"/>
    <w:rsid w:val="00B311EC"/>
    <w:rsid w:val="00B33BDD"/>
    <w:rsid w:val="00B34342"/>
    <w:rsid w:val="00B344F4"/>
    <w:rsid w:val="00B36383"/>
    <w:rsid w:val="00B36C7E"/>
    <w:rsid w:val="00B37696"/>
    <w:rsid w:val="00B37FDF"/>
    <w:rsid w:val="00B4104F"/>
    <w:rsid w:val="00B43581"/>
    <w:rsid w:val="00B45004"/>
    <w:rsid w:val="00B45F3D"/>
    <w:rsid w:val="00B50315"/>
    <w:rsid w:val="00B53112"/>
    <w:rsid w:val="00B557B1"/>
    <w:rsid w:val="00B5581C"/>
    <w:rsid w:val="00B56F0B"/>
    <w:rsid w:val="00B649D0"/>
    <w:rsid w:val="00B67DD2"/>
    <w:rsid w:val="00B7047A"/>
    <w:rsid w:val="00B72ABD"/>
    <w:rsid w:val="00B736D7"/>
    <w:rsid w:val="00B74846"/>
    <w:rsid w:val="00B76B0F"/>
    <w:rsid w:val="00B816B1"/>
    <w:rsid w:val="00B8170D"/>
    <w:rsid w:val="00B81EF5"/>
    <w:rsid w:val="00B830DC"/>
    <w:rsid w:val="00B859D8"/>
    <w:rsid w:val="00B85F69"/>
    <w:rsid w:val="00B87032"/>
    <w:rsid w:val="00B87333"/>
    <w:rsid w:val="00B87F71"/>
    <w:rsid w:val="00B90182"/>
    <w:rsid w:val="00B911D8"/>
    <w:rsid w:val="00B921EF"/>
    <w:rsid w:val="00B932C7"/>
    <w:rsid w:val="00B93607"/>
    <w:rsid w:val="00B96F96"/>
    <w:rsid w:val="00BA0754"/>
    <w:rsid w:val="00BA0A71"/>
    <w:rsid w:val="00BA10B3"/>
    <w:rsid w:val="00BA1649"/>
    <w:rsid w:val="00BA1D3D"/>
    <w:rsid w:val="00BA237C"/>
    <w:rsid w:val="00BA2771"/>
    <w:rsid w:val="00BA313B"/>
    <w:rsid w:val="00BA460F"/>
    <w:rsid w:val="00BA50A4"/>
    <w:rsid w:val="00BA618E"/>
    <w:rsid w:val="00BA64D0"/>
    <w:rsid w:val="00BB097D"/>
    <w:rsid w:val="00BB220A"/>
    <w:rsid w:val="00BB31C6"/>
    <w:rsid w:val="00BB5BA3"/>
    <w:rsid w:val="00BB6379"/>
    <w:rsid w:val="00BB6411"/>
    <w:rsid w:val="00BB7AA8"/>
    <w:rsid w:val="00BC12C7"/>
    <w:rsid w:val="00BC173E"/>
    <w:rsid w:val="00BC2CFC"/>
    <w:rsid w:val="00BC4091"/>
    <w:rsid w:val="00BC4BEB"/>
    <w:rsid w:val="00BD1814"/>
    <w:rsid w:val="00BD360D"/>
    <w:rsid w:val="00BD3E25"/>
    <w:rsid w:val="00BD5067"/>
    <w:rsid w:val="00BD5EDF"/>
    <w:rsid w:val="00BD7194"/>
    <w:rsid w:val="00BD7C24"/>
    <w:rsid w:val="00BE07E2"/>
    <w:rsid w:val="00BE2323"/>
    <w:rsid w:val="00BE36A8"/>
    <w:rsid w:val="00BE498A"/>
    <w:rsid w:val="00BE67FA"/>
    <w:rsid w:val="00BE6A81"/>
    <w:rsid w:val="00BE71B2"/>
    <w:rsid w:val="00BE77B7"/>
    <w:rsid w:val="00BF0144"/>
    <w:rsid w:val="00BF0F9C"/>
    <w:rsid w:val="00BF433F"/>
    <w:rsid w:val="00BF453E"/>
    <w:rsid w:val="00BF6D4F"/>
    <w:rsid w:val="00C02DAF"/>
    <w:rsid w:val="00C056C4"/>
    <w:rsid w:val="00C05FF9"/>
    <w:rsid w:val="00C06D8D"/>
    <w:rsid w:val="00C111F0"/>
    <w:rsid w:val="00C11C71"/>
    <w:rsid w:val="00C13463"/>
    <w:rsid w:val="00C140BA"/>
    <w:rsid w:val="00C15B28"/>
    <w:rsid w:val="00C178DB"/>
    <w:rsid w:val="00C17E10"/>
    <w:rsid w:val="00C209BF"/>
    <w:rsid w:val="00C20DBA"/>
    <w:rsid w:val="00C21646"/>
    <w:rsid w:val="00C30DB3"/>
    <w:rsid w:val="00C316D7"/>
    <w:rsid w:val="00C32E1F"/>
    <w:rsid w:val="00C32E86"/>
    <w:rsid w:val="00C33835"/>
    <w:rsid w:val="00C34E0E"/>
    <w:rsid w:val="00C350B3"/>
    <w:rsid w:val="00C35245"/>
    <w:rsid w:val="00C35918"/>
    <w:rsid w:val="00C37ECE"/>
    <w:rsid w:val="00C406CD"/>
    <w:rsid w:val="00C4080A"/>
    <w:rsid w:val="00C418C4"/>
    <w:rsid w:val="00C41F50"/>
    <w:rsid w:val="00C45FF5"/>
    <w:rsid w:val="00C46759"/>
    <w:rsid w:val="00C4700D"/>
    <w:rsid w:val="00C523FA"/>
    <w:rsid w:val="00C527DE"/>
    <w:rsid w:val="00C53DA7"/>
    <w:rsid w:val="00C609B3"/>
    <w:rsid w:val="00C60A5D"/>
    <w:rsid w:val="00C6192E"/>
    <w:rsid w:val="00C62C52"/>
    <w:rsid w:val="00C6412B"/>
    <w:rsid w:val="00C70DB5"/>
    <w:rsid w:val="00C710B5"/>
    <w:rsid w:val="00C71CFF"/>
    <w:rsid w:val="00C72232"/>
    <w:rsid w:val="00C72B55"/>
    <w:rsid w:val="00C74C70"/>
    <w:rsid w:val="00C76114"/>
    <w:rsid w:val="00C767B6"/>
    <w:rsid w:val="00C80C74"/>
    <w:rsid w:val="00C845C8"/>
    <w:rsid w:val="00C8644A"/>
    <w:rsid w:val="00C8701D"/>
    <w:rsid w:val="00C87056"/>
    <w:rsid w:val="00C87A6F"/>
    <w:rsid w:val="00C92821"/>
    <w:rsid w:val="00C92B42"/>
    <w:rsid w:val="00C9408E"/>
    <w:rsid w:val="00C9521B"/>
    <w:rsid w:val="00C9571B"/>
    <w:rsid w:val="00CA0882"/>
    <w:rsid w:val="00CA1882"/>
    <w:rsid w:val="00CA28D0"/>
    <w:rsid w:val="00CA3224"/>
    <w:rsid w:val="00CA69B2"/>
    <w:rsid w:val="00CA7CED"/>
    <w:rsid w:val="00CB0AA4"/>
    <w:rsid w:val="00CB2504"/>
    <w:rsid w:val="00CB4342"/>
    <w:rsid w:val="00CB4409"/>
    <w:rsid w:val="00CB48FC"/>
    <w:rsid w:val="00CB501D"/>
    <w:rsid w:val="00CB5503"/>
    <w:rsid w:val="00CB55FB"/>
    <w:rsid w:val="00CB72BE"/>
    <w:rsid w:val="00CB76CD"/>
    <w:rsid w:val="00CB7F83"/>
    <w:rsid w:val="00CB7FD1"/>
    <w:rsid w:val="00CC07F8"/>
    <w:rsid w:val="00CC0B14"/>
    <w:rsid w:val="00CC3D60"/>
    <w:rsid w:val="00CC46B5"/>
    <w:rsid w:val="00CC529E"/>
    <w:rsid w:val="00CD167F"/>
    <w:rsid w:val="00CD1AAF"/>
    <w:rsid w:val="00CD2A06"/>
    <w:rsid w:val="00CD372E"/>
    <w:rsid w:val="00CD3B90"/>
    <w:rsid w:val="00CD6467"/>
    <w:rsid w:val="00CE0D0C"/>
    <w:rsid w:val="00CE15BD"/>
    <w:rsid w:val="00CE3DF9"/>
    <w:rsid w:val="00CE5BBE"/>
    <w:rsid w:val="00CE68B0"/>
    <w:rsid w:val="00CE7911"/>
    <w:rsid w:val="00CE7FAC"/>
    <w:rsid w:val="00CF0DCF"/>
    <w:rsid w:val="00CF1210"/>
    <w:rsid w:val="00CF1AFA"/>
    <w:rsid w:val="00CF1F73"/>
    <w:rsid w:val="00CF27E5"/>
    <w:rsid w:val="00CF2A8C"/>
    <w:rsid w:val="00CF3AB1"/>
    <w:rsid w:val="00CF6162"/>
    <w:rsid w:val="00CF6E07"/>
    <w:rsid w:val="00D00352"/>
    <w:rsid w:val="00D01FCC"/>
    <w:rsid w:val="00D028ED"/>
    <w:rsid w:val="00D05D4B"/>
    <w:rsid w:val="00D10FA0"/>
    <w:rsid w:val="00D12151"/>
    <w:rsid w:val="00D151A7"/>
    <w:rsid w:val="00D15F1A"/>
    <w:rsid w:val="00D167A6"/>
    <w:rsid w:val="00D167AA"/>
    <w:rsid w:val="00D170D4"/>
    <w:rsid w:val="00D20388"/>
    <w:rsid w:val="00D220B3"/>
    <w:rsid w:val="00D2522C"/>
    <w:rsid w:val="00D25552"/>
    <w:rsid w:val="00D25956"/>
    <w:rsid w:val="00D26DEA"/>
    <w:rsid w:val="00D30D73"/>
    <w:rsid w:val="00D3213D"/>
    <w:rsid w:val="00D32335"/>
    <w:rsid w:val="00D3242D"/>
    <w:rsid w:val="00D33EF5"/>
    <w:rsid w:val="00D41380"/>
    <w:rsid w:val="00D413AD"/>
    <w:rsid w:val="00D428F8"/>
    <w:rsid w:val="00D42A46"/>
    <w:rsid w:val="00D42B0F"/>
    <w:rsid w:val="00D43885"/>
    <w:rsid w:val="00D45AD0"/>
    <w:rsid w:val="00D45FDE"/>
    <w:rsid w:val="00D4682D"/>
    <w:rsid w:val="00D5008F"/>
    <w:rsid w:val="00D52092"/>
    <w:rsid w:val="00D55299"/>
    <w:rsid w:val="00D55FF7"/>
    <w:rsid w:val="00D61267"/>
    <w:rsid w:val="00D631BD"/>
    <w:rsid w:val="00D6623A"/>
    <w:rsid w:val="00D677D5"/>
    <w:rsid w:val="00D72994"/>
    <w:rsid w:val="00D87094"/>
    <w:rsid w:val="00D90CE1"/>
    <w:rsid w:val="00D93453"/>
    <w:rsid w:val="00D939D2"/>
    <w:rsid w:val="00D93B24"/>
    <w:rsid w:val="00D94071"/>
    <w:rsid w:val="00D96469"/>
    <w:rsid w:val="00DA13A6"/>
    <w:rsid w:val="00DA2E83"/>
    <w:rsid w:val="00DA3E3A"/>
    <w:rsid w:val="00DA4116"/>
    <w:rsid w:val="00DA496D"/>
    <w:rsid w:val="00DA525B"/>
    <w:rsid w:val="00DB01C6"/>
    <w:rsid w:val="00DB5165"/>
    <w:rsid w:val="00DB6474"/>
    <w:rsid w:val="00DB689A"/>
    <w:rsid w:val="00DB6CBE"/>
    <w:rsid w:val="00DC0F7E"/>
    <w:rsid w:val="00DC2413"/>
    <w:rsid w:val="00DC3648"/>
    <w:rsid w:val="00DC3C78"/>
    <w:rsid w:val="00DC67CE"/>
    <w:rsid w:val="00DC7571"/>
    <w:rsid w:val="00DC7DEB"/>
    <w:rsid w:val="00DD2CA6"/>
    <w:rsid w:val="00DD3E07"/>
    <w:rsid w:val="00DD3E74"/>
    <w:rsid w:val="00DD5925"/>
    <w:rsid w:val="00DD5DE5"/>
    <w:rsid w:val="00DD65E6"/>
    <w:rsid w:val="00DD67E6"/>
    <w:rsid w:val="00DE093A"/>
    <w:rsid w:val="00DE09C6"/>
    <w:rsid w:val="00DE489A"/>
    <w:rsid w:val="00DE4BA5"/>
    <w:rsid w:val="00DE63E2"/>
    <w:rsid w:val="00DE796B"/>
    <w:rsid w:val="00DF3A38"/>
    <w:rsid w:val="00DF4BDB"/>
    <w:rsid w:val="00DF4DF1"/>
    <w:rsid w:val="00DF5B8E"/>
    <w:rsid w:val="00DF76FB"/>
    <w:rsid w:val="00DF77D8"/>
    <w:rsid w:val="00E0020D"/>
    <w:rsid w:val="00E01FE5"/>
    <w:rsid w:val="00E02E6A"/>
    <w:rsid w:val="00E0426D"/>
    <w:rsid w:val="00E0470F"/>
    <w:rsid w:val="00E0671A"/>
    <w:rsid w:val="00E06804"/>
    <w:rsid w:val="00E11634"/>
    <w:rsid w:val="00E1284A"/>
    <w:rsid w:val="00E13D5F"/>
    <w:rsid w:val="00E14965"/>
    <w:rsid w:val="00E159EA"/>
    <w:rsid w:val="00E15F23"/>
    <w:rsid w:val="00E165D7"/>
    <w:rsid w:val="00E16DE2"/>
    <w:rsid w:val="00E17233"/>
    <w:rsid w:val="00E2313A"/>
    <w:rsid w:val="00E269DA"/>
    <w:rsid w:val="00E26DDF"/>
    <w:rsid w:val="00E274AB"/>
    <w:rsid w:val="00E27B2D"/>
    <w:rsid w:val="00E27C59"/>
    <w:rsid w:val="00E3194C"/>
    <w:rsid w:val="00E31A4D"/>
    <w:rsid w:val="00E33C3E"/>
    <w:rsid w:val="00E34560"/>
    <w:rsid w:val="00E37165"/>
    <w:rsid w:val="00E37BA8"/>
    <w:rsid w:val="00E40A78"/>
    <w:rsid w:val="00E40CF7"/>
    <w:rsid w:val="00E41FC9"/>
    <w:rsid w:val="00E4318B"/>
    <w:rsid w:val="00E43222"/>
    <w:rsid w:val="00E4350E"/>
    <w:rsid w:val="00E444BA"/>
    <w:rsid w:val="00E5358F"/>
    <w:rsid w:val="00E542A9"/>
    <w:rsid w:val="00E5457C"/>
    <w:rsid w:val="00E554E7"/>
    <w:rsid w:val="00E557F7"/>
    <w:rsid w:val="00E55810"/>
    <w:rsid w:val="00E57FE0"/>
    <w:rsid w:val="00E61319"/>
    <w:rsid w:val="00E6190D"/>
    <w:rsid w:val="00E61CF2"/>
    <w:rsid w:val="00E63EAB"/>
    <w:rsid w:val="00E66B73"/>
    <w:rsid w:val="00E7005B"/>
    <w:rsid w:val="00E719EA"/>
    <w:rsid w:val="00E72440"/>
    <w:rsid w:val="00E76A6E"/>
    <w:rsid w:val="00E7704D"/>
    <w:rsid w:val="00E77662"/>
    <w:rsid w:val="00E777CC"/>
    <w:rsid w:val="00E77EAC"/>
    <w:rsid w:val="00E82726"/>
    <w:rsid w:val="00E82F10"/>
    <w:rsid w:val="00E82F18"/>
    <w:rsid w:val="00E83F22"/>
    <w:rsid w:val="00E84957"/>
    <w:rsid w:val="00E8495C"/>
    <w:rsid w:val="00E855DC"/>
    <w:rsid w:val="00E85881"/>
    <w:rsid w:val="00E859EC"/>
    <w:rsid w:val="00E8709A"/>
    <w:rsid w:val="00E91C9E"/>
    <w:rsid w:val="00E9520E"/>
    <w:rsid w:val="00E96774"/>
    <w:rsid w:val="00E96DED"/>
    <w:rsid w:val="00E97785"/>
    <w:rsid w:val="00E97921"/>
    <w:rsid w:val="00E97B82"/>
    <w:rsid w:val="00EA1569"/>
    <w:rsid w:val="00EA19CA"/>
    <w:rsid w:val="00EA1C1F"/>
    <w:rsid w:val="00EA3FF3"/>
    <w:rsid w:val="00EA57E6"/>
    <w:rsid w:val="00EA6F18"/>
    <w:rsid w:val="00EA741B"/>
    <w:rsid w:val="00EA7CF9"/>
    <w:rsid w:val="00EB022B"/>
    <w:rsid w:val="00EB0A8B"/>
    <w:rsid w:val="00EB1B99"/>
    <w:rsid w:val="00EB232B"/>
    <w:rsid w:val="00EB2CFA"/>
    <w:rsid w:val="00EB3FDF"/>
    <w:rsid w:val="00EB5BD2"/>
    <w:rsid w:val="00EB61B2"/>
    <w:rsid w:val="00EC0590"/>
    <w:rsid w:val="00EC06FE"/>
    <w:rsid w:val="00EC3A01"/>
    <w:rsid w:val="00EC45FF"/>
    <w:rsid w:val="00EC5A82"/>
    <w:rsid w:val="00EC7AE5"/>
    <w:rsid w:val="00ED1319"/>
    <w:rsid w:val="00ED15DE"/>
    <w:rsid w:val="00ED20D7"/>
    <w:rsid w:val="00ED38E4"/>
    <w:rsid w:val="00ED4F5C"/>
    <w:rsid w:val="00ED5D85"/>
    <w:rsid w:val="00ED6960"/>
    <w:rsid w:val="00ED76DB"/>
    <w:rsid w:val="00ED7B87"/>
    <w:rsid w:val="00EE050E"/>
    <w:rsid w:val="00EE119E"/>
    <w:rsid w:val="00EE24E2"/>
    <w:rsid w:val="00EE2886"/>
    <w:rsid w:val="00EE3D4D"/>
    <w:rsid w:val="00EE4028"/>
    <w:rsid w:val="00EE5400"/>
    <w:rsid w:val="00EE7C93"/>
    <w:rsid w:val="00EE7D2A"/>
    <w:rsid w:val="00EF060C"/>
    <w:rsid w:val="00EF114B"/>
    <w:rsid w:val="00F01074"/>
    <w:rsid w:val="00F01189"/>
    <w:rsid w:val="00F028A3"/>
    <w:rsid w:val="00F04B9D"/>
    <w:rsid w:val="00F04E1F"/>
    <w:rsid w:val="00F067FB"/>
    <w:rsid w:val="00F07B41"/>
    <w:rsid w:val="00F11BB8"/>
    <w:rsid w:val="00F13928"/>
    <w:rsid w:val="00F13D11"/>
    <w:rsid w:val="00F13D9C"/>
    <w:rsid w:val="00F149C2"/>
    <w:rsid w:val="00F1543B"/>
    <w:rsid w:val="00F224CF"/>
    <w:rsid w:val="00F23B2E"/>
    <w:rsid w:val="00F27643"/>
    <w:rsid w:val="00F276BC"/>
    <w:rsid w:val="00F3052B"/>
    <w:rsid w:val="00F305F4"/>
    <w:rsid w:val="00F30FC1"/>
    <w:rsid w:val="00F315AB"/>
    <w:rsid w:val="00F31FFF"/>
    <w:rsid w:val="00F3533A"/>
    <w:rsid w:val="00F36630"/>
    <w:rsid w:val="00F37D80"/>
    <w:rsid w:val="00F405D3"/>
    <w:rsid w:val="00F40E2B"/>
    <w:rsid w:val="00F4234E"/>
    <w:rsid w:val="00F43FB9"/>
    <w:rsid w:val="00F44231"/>
    <w:rsid w:val="00F444E7"/>
    <w:rsid w:val="00F44715"/>
    <w:rsid w:val="00F458F3"/>
    <w:rsid w:val="00F50DB5"/>
    <w:rsid w:val="00F568CB"/>
    <w:rsid w:val="00F56B13"/>
    <w:rsid w:val="00F60E76"/>
    <w:rsid w:val="00F61D4F"/>
    <w:rsid w:val="00F62271"/>
    <w:rsid w:val="00F633C5"/>
    <w:rsid w:val="00F63674"/>
    <w:rsid w:val="00F64A4A"/>
    <w:rsid w:val="00F65B54"/>
    <w:rsid w:val="00F71F8B"/>
    <w:rsid w:val="00F72496"/>
    <w:rsid w:val="00F73882"/>
    <w:rsid w:val="00F75254"/>
    <w:rsid w:val="00F75CF7"/>
    <w:rsid w:val="00F76012"/>
    <w:rsid w:val="00F7634D"/>
    <w:rsid w:val="00F76724"/>
    <w:rsid w:val="00F76DBF"/>
    <w:rsid w:val="00F82AD3"/>
    <w:rsid w:val="00F84111"/>
    <w:rsid w:val="00F8517B"/>
    <w:rsid w:val="00F855DB"/>
    <w:rsid w:val="00F858D9"/>
    <w:rsid w:val="00F87982"/>
    <w:rsid w:val="00F879F5"/>
    <w:rsid w:val="00F87A42"/>
    <w:rsid w:val="00F9349E"/>
    <w:rsid w:val="00FA2A13"/>
    <w:rsid w:val="00FA5265"/>
    <w:rsid w:val="00FA5941"/>
    <w:rsid w:val="00FB2C88"/>
    <w:rsid w:val="00FB3ACD"/>
    <w:rsid w:val="00FB4B6B"/>
    <w:rsid w:val="00FB52D1"/>
    <w:rsid w:val="00FB5B47"/>
    <w:rsid w:val="00FB694C"/>
    <w:rsid w:val="00FC0599"/>
    <w:rsid w:val="00FC238E"/>
    <w:rsid w:val="00FC37C2"/>
    <w:rsid w:val="00FC3BA5"/>
    <w:rsid w:val="00FC5B79"/>
    <w:rsid w:val="00FD0B03"/>
    <w:rsid w:val="00FD1C0E"/>
    <w:rsid w:val="00FD31F7"/>
    <w:rsid w:val="00FD33BE"/>
    <w:rsid w:val="00FD3B69"/>
    <w:rsid w:val="00FD6A7D"/>
    <w:rsid w:val="00FD6D95"/>
    <w:rsid w:val="00FD76BA"/>
    <w:rsid w:val="00FE262A"/>
    <w:rsid w:val="00FE55BF"/>
    <w:rsid w:val="00FE7889"/>
    <w:rsid w:val="00FF038B"/>
    <w:rsid w:val="00FF0C0B"/>
    <w:rsid w:val="00FF1D02"/>
    <w:rsid w:val="00FF331F"/>
    <w:rsid w:val="00FF5375"/>
    <w:rsid w:val="00FF66F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C5C"/>
    <w:pPr>
      <w:keepNext/>
      <w:spacing w:before="240" w:after="240"/>
      <w:outlineLvl w:val="0"/>
    </w:pPr>
    <w:rPr>
      <w:rFonts w:asciiTheme="majorHAnsi" w:hAnsiTheme="majorHAnsi"/>
      <w:b/>
      <w:bCs/>
      <w:sz w:val="26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37FDF"/>
    <w:pPr>
      <w:keepNext/>
      <w:spacing w:before="360" w:after="360"/>
      <w:outlineLvl w:val="1"/>
    </w:pPr>
    <w:rPr>
      <w:rFonts w:asciiTheme="majorHAnsi" w:hAnsiTheme="majorHAnsi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922F2C"/>
    <w:pPr>
      <w:keepNext/>
      <w:spacing w:before="240" w:after="240"/>
      <w:outlineLvl w:val="2"/>
    </w:pPr>
    <w:rPr>
      <w:rFonts w:asciiTheme="majorHAnsi" w:hAnsiTheme="majorHAns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C5C"/>
    <w:rPr>
      <w:rFonts w:asciiTheme="majorHAnsi" w:eastAsia="Times New Roman" w:hAnsiTheme="majorHAnsi" w:cs="Times New Roman"/>
      <w:b/>
      <w:bCs/>
      <w:sz w:val="26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B37FDF"/>
    <w:rPr>
      <w:rFonts w:asciiTheme="majorHAnsi" w:eastAsia="Times New Roman" w:hAnsiTheme="majorHAnsi" w:cs="Times New Roman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922F2C"/>
    <w:rPr>
      <w:rFonts w:asciiTheme="majorHAnsi" w:eastAsia="Times New Roman" w:hAnsiTheme="majorHAnsi" w:cs="Times New Roman"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863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63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C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1">
    <w:name w:val="tekst1"/>
    <w:rsid w:val="004863C7"/>
    <w:rPr>
      <w:rFonts w:ascii="Arial" w:hAnsi="Arial" w:cs="Arial" w:hint="default"/>
      <w:color w:val="000000"/>
      <w:sz w:val="18"/>
      <w:szCs w:val="18"/>
    </w:rPr>
  </w:style>
  <w:style w:type="character" w:styleId="PageNumber">
    <w:name w:val="page number"/>
    <w:basedOn w:val="DefaultParagraphFont"/>
    <w:rsid w:val="004863C7"/>
  </w:style>
  <w:style w:type="paragraph" w:customStyle="1" w:styleId="CharCharCharCharCharCharChar">
    <w:name w:val="Char Char Char Char Char Char Char"/>
    <w:basedOn w:val="Normal"/>
    <w:rsid w:val="004863C7"/>
    <w:pPr>
      <w:spacing w:after="160" w:line="240" w:lineRule="exact"/>
    </w:pPr>
    <w:rPr>
      <w:rFonts w:ascii="Symbol" w:eastAsia="Calibri" w:hAnsi="Symbol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4863C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4863C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63C7"/>
    <w:rPr>
      <w:rFonts w:ascii="Tahoma" w:eastAsia="Times New Roman" w:hAnsi="Tahoma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4863C7"/>
    <w:pPr>
      <w:jc w:val="both"/>
    </w:pPr>
    <w:rPr>
      <w:rFonts w:ascii="Tahoma" w:hAnsi="Tahoma"/>
      <w:szCs w:val="20"/>
      <w:lang w:val="sl-SI"/>
    </w:rPr>
  </w:style>
  <w:style w:type="character" w:customStyle="1" w:styleId="BodyText3Char">
    <w:name w:val="Body Text 3 Char"/>
    <w:basedOn w:val="DefaultParagraphFont"/>
    <w:link w:val="BodyText3"/>
    <w:rsid w:val="004863C7"/>
    <w:rPr>
      <w:rFonts w:ascii="Tahoma" w:eastAsia="Times New Roman" w:hAnsi="Tahoma" w:cs="Times New Roman"/>
      <w:sz w:val="24"/>
      <w:szCs w:val="20"/>
      <w:lang w:val="sl-SI"/>
    </w:rPr>
  </w:style>
  <w:style w:type="table" w:styleId="TableGrid">
    <w:name w:val="Table Grid"/>
    <w:basedOn w:val="TableNormal"/>
    <w:rsid w:val="0048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48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863C7"/>
  </w:style>
  <w:style w:type="numbering" w:customStyle="1" w:styleId="NoList2">
    <w:name w:val="No List2"/>
    <w:next w:val="NoList"/>
    <w:uiPriority w:val="99"/>
    <w:semiHidden/>
    <w:unhideWhenUsed/>
    <w:rsid w:val="004863C7"/>
  </w:style>
  <w:style w:type="numbering" w:customStyle="1" w:styleId="NoList3">
    <w:name w:val="No List3"/>
    <w:next w:val="NoList"/>
    <w:uiPriority w:val="99"/>
    <w:semiHidden/>
    <w:unhideWhenUsed/>
    <w:rsid w:val="004863C7"/>
  </w:style>
  <w:style w:type="paragraph" w:customStyle="1" w:styleId="listparagraphcxspmiddle">
    <w:name w:val="listparagraphcxspmiddle"/>
    <w:basedOn w:val="Normal"/>
    <w:rsid w:val="004863C7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Normal"/>
    <w:rsid w:val="004863C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rsid w:val="004863C7"/>
    <w:pPr>
      <w:spacing w:before="100" w:beforeAutospacing="1" w:after="100" w:afterAutospacing="1"/>
    </w:pPr>
  </w:style>
  <w:style w:type="character" w:styleId="Emphasis">
    <w:name w:val="Emphasis"/>
    <w:qFormat/>
    <w:rsid w:val="004863C7"/>
    <w:rPr>
      <w:i/>
      <w:iCs/>
    </w:rPr>
  </w:style>
  <w:style w:type="paragraph" w:styleId="NoSpacing">
    <w:name w:val="No Spacing"/>
    <w:uiPriority w:val="1"/>
    <w:qFormat/>
    <w:rsid w:val="0048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D45AD0"/>
    <w:pPr>
      <w:spacing w:before="100" w:beforeAutospacing="1" w:after="100" w:afterAutospacing="1"/>
    </w:pPr>
  </w:style>
  <w:style w:type="paragraph" w:customStyle="1" w:styleId="Default">
    <w:name w:val="Default"/>
    <w:rsid w:val="00D45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4210D"/>
    <w:rPr>
      <w:b/>
      <w:bCs/>
    </w:rPr>
  </w:style>
  <w:style w:type="paragraph" w:customStyle="1" w:styleId="Naslov">
    <w:name w:val="Naslov"/>
    <w:basedOn w:val="Heading1"/>
    <w:link w:val="NaslovChar"/>
    <w:qFormat/>
    <w:rsid w:val="008179BF"/>
    <w:rPr>
      <w:szCs w:val="26"/>
    </w:rPr>
  </w:style>
  <w:style w:type="paragraph" w:customStyle="1" w:styleId="Podnaslovi">
    <w:name w:val="Podnaslovi"/>
    <w:basedOn w:val="Normal"/>
    <w:link w:val="PodnasloviChar"/>
    <w:qFormat/>
    <w:rsid w:val="008179BF"/>
    <w:pPr>
      <w:spacing w:before="240" w:after="240"/>
      <w:jc w:val="both"/>
    </w:pPr>
    <w:rPr>
      <w:rFonts w:asciiTheme="majorHAnsi" w:hAnsiTheme="majorHAnsi" w:cs="Calibri"/>
      <w:b/>
      <w:sz w:val="26"/>
      <w:szCs w:val="26"/>
      <w:lang w:val="ru-RU"/>
    </w:rPr>
  </w:style>
  <w:style w:type="character" w:customStyle="1" w:styleId="NaslovChar">
    <w:name w:val="Naslov Char"/>
    <w:basedOn w:val="Heading1Char"/>
    <w:link w:val="Naslov"/>
    <w:rsid w:val="008179BF"/>
    <w:rPr>
      <w:rFonts w:asciiTheme="majorHAnsi" w:eastAsia="Times New Roman" w:hAnsiTheme="majorHAnsi" w:cs="Times New Roman"/>
      <w:b/>
      <w:bCs/>
      <w:sz w:val="26"/>
      <w:szCs w:val="26"/>
      <w:lang w:val="sr-Cyrl-CS"/>
    </w:rPr>
  </w:style>
  <w:style w:type="paragraph" w:customStyle="1" w:styleId="bezbroja">
    <w:name w:val="bez broja"/>
    <w:basedOn w:val="Normal"/>
    <w:link w:val="bezbrojaChar"/>
    <w:qFormat/>
    <w:rsid w:val="002419AA"/>
    <w:pPr>
      <w:jc w:val="both"/>
    </w:pPr>
    <w:rPr>
      <w:rFonts w:asciiTheme="minorHAnsi" w:hAnsiTheme="minorHAnsi"/>
      <w:b/>
      <w:sz w:val="22"/>
      <w:szCs w:val="22"/>
      <w:lang w:val="sr-Cyrl-BA"/>
    </w:rPr>
  </w:style>
  <w:style w:type="character" w:customStyle="1" w:styleId="PodnasloviChar">
    <w:name w:val="Podnaslovi Char"/>
    <w:basedOn w:val="DefaultParagraphFont"/>
    <w:link w:val="Podnaslovi"/>
    <w:rsid w:val="008179BF"/>
    <w:rPr>
      <w:rFonts w:asciiTheme="majorHAnsi" w:eastAsia="Times New Roman" w:hAnsiTheme="majorHAnsi" w:cs="Calibri"/>
      <w:b/>
      <w:sz w:val="26"/>
      <w:szCs w:val="26"/>
      <w:lang w:val="ru-RU"/>
    </w:rPr>
  </w:style>
  <w:style w:type="paragraph" w:customStyle="1" w:styleId="trecinivonaslova">
    <w:name w:val="treci nivo naslova"/>
    <w:basedOn w:val="Normal"/>
    <w:link w:val="trecinivonaslovaChar"/>
    <w:qFormat/>
    <w:rsid w:val="00492C5C"/>
    <w:pPr>
      <w:spacing w:before="240" w:after="240"/>
      <w:jc w:val="both"/>
    </w:pPr>
    <w:rPr>
      <w:rFonts w:asciiTheme="majorHAnsi" w:hAnsiTheme="majorHAnsi" w:cs="Calibri"/>
      <w:sz w:val="26"/>
      <w:szCs w:val="26"/>
      <w:lang w:val="sr-Cyrl-BA"/>
    </w:rPr>
  </w:style>
  <w:style w:type="character" w:customStyle="1" w:styleId="bezbrojaChar">
    <w:name w:val="bez broja Char"/>
    <w:basedOn w:val="DefaultParagraphFont"/>
    <w:link w:val="bezbroja"/>
    <w:rsid w:val="002419AA"/>
    <w:rPr>
      <w:rFonts w:eastAsia="Times New Roman" w:cs="Times New Roman"/>
      <w:b/>
      <w:lang w:val="sr-Cyrl-BA"/>
    </w:rPr>
  </w:style>
  <w:style w:type="paragraph" w:styleId="TOC2">
    <w:name w:val="toc 2"/>
    <w:basedOn w:val="Normal"/>
    <w:next w:val="Normal"/>
    <w:autoRedefine/>
    <w:uiPriority w:val="39"/>
    <w:unhideWhenUsed/>
    <w:rsid w:val="00D15F1A"/>
    <w:rPr>
      <w:rFonts w:asciiTheme="minorHAnsi" w:hAnsiTheme="minorHAnsi"/>
      <w:b/>
    </w:rPr>
  </w:style>
  <w:style w:type="character" w:customStyle="1" w:styleId="trecinivonaslovaChar">
    <w:name w:val="treci nivo naslova Char"/>
    <w:basedOn w:val="DefaultParagraphFont"/>
    <w:link w:val="trecinivonaslova"/>
    <w:rsid w:val="00492C5C"/>
    <w:rPr>
      <w:rFonts w:asciiTheme="majorHAnsi" w:eastAsia="Times New Roman" w:hAnsiTheme="majorHAnsi" w:cs="Calibri"/>
      <w:sz w:val="26"/>
      <w:szCs w:val="26"/>
      <w:lang w:val="sr-Cyrl-BA"/>
    </w:rPr>
  </w:style>
  <w:style w:type="paragraph" w:styleId="TOC1">
    <w:name w:val="toc 1"/>
    <w:basedOn w:val="Normal"/>
    <w:next w:val="Normal"/>
    <w:autoRedefine/>
    <w:uiPriority w:val="39"/>
    <w:unhideWhenUsed/>
    <w:rsid w:val="002D402E"/>
    <w:pPr>
      <w:spacing w:before="120" w:after="120"/>
    </w:pPr>
    <w:rPr>
      <w:rFonts w:asciiTheme="minorHAnsi" w:hAnsiTheme="minorHAnsi"/>
      <w:b/>
    </w:rPr>
  </w:style>
  <w:style w:type="character" w:styleId="Hyperlink">
    <w:name w:val="Hyperlink"/>
    <w:basedOn w:val="DefaultParagraphFont"/>
    <w:uiPriority w:val="99"/>
    <w:unhideWhenUsed/>
    <w:rsid w:val="008656A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D402E"/>
    <w:rPr>
      <w:rFonts w:asciiTheme="minorHAnsi" w:hAnsiTheme="minorHAns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C5C"/>
    <w:pPr>
      <w:keepNext/>
      <w:spacing w:before="240" w:after="240"/>
      <w:outlineLvl w:val="0"/>
    </w:pPr>
    <w:rPr>
      <w:rFonts w:asciiTheme="majorHAnsi" w:hAnsiTheme="majorHAnsi"/>
      <w:b/>
      <w:bCs/>
      <w:sz w:val="26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37FDF"/>
    <w:pPr>
      <w:keepNext/>
      <w:spacing w:before="360" w:after="360"/>
      <w:outlineLvl w:val="1"/>
    </w:pPr>
    <w:rPr>
      <w:rFonts w:asciiTheme="majorHAnsi" w:hAnsiTheme="majorHAnsi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922F2C"/>
    <w:pPr>
      <w:keepNext/>
      <w:spacing w:before="240" w:after="240"/>
      <w:outlineLvl w:val="2"/>
    </w:pPr>
    <w:rPr>
      <w:rFonts w:asciiTheme="majorHAnsi" w:hAnsiTheme="majorHAns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C5C"/>
    <w:rPr>
      <w:rFonts w:asciiTheme="majorHAnsi" w:eastAsia="Times New Roman" w:hAnsiTheme="majorHAnsi" w:cs="Times New Roman"/>
      <w:b/>
      <w:bCs/>
      <w:sz w:val="26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B37FDF"/>
    <w:rPr>
      <w:rFonts w:asciiTheme="majorHAnsi" w:eastAsia="Times New Roman" w:hAnsiTheme="majorHAnsi" w:cs="Times New Roman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922F2C"/>
    <w:rPr>
      <w:rFonts w:asciiTheme="majorHAnsi" w:eastAsia="Times New Roman" w:hAnsiTheme="majorHAnsi" w:cs="Times New Roman"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863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63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C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1">
    <w:name w:val="tekst1"/>
    <w:rsid w:val="004863C7"/>
    <w:rPr>
      <w:rFonts w:ascii="Arial" w:hAnsi="Arial" w:cs="Arial" w:hint="default"/>
      <w:color w:val="000000"/>
      <w:sz w:val="18"/>
      <w:szCs w:val="18"/>
    </w:rPr>
  </w:style>
  <w:style w:type="character" w:styleId="PageNumber">
    <w:name w:val="page number"/>
    <w:basedOn w:val="DefaultParagraphFont"/>
    <w:rsid w:val="004863C7"/>
  </w:style>
  <w:style w:type="paragraph" w:customStyle="1" w:styleId="CharCharCharCharCharCharChar">
    <w:name w:val="Char Char Char Char Char Char Char"/>
    <w:basedOn w:val="Normal"/>
    <w:rsid w:val="004863C7"/>
    <w:pPr>
      <w:spacing w:after="160" w:line="240" w:lineRule="exact"/>
    </w:pPr>
    <w:rPr>
      <w:rFonts w:ascii="Symbol" w:eastAsia="Calibri" w:hAnsi="Symbol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4863C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4863C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63C7"/>
    <w:rPr>
      <w:rFonts w:ascii="Tahoma" w:eastAsia="Times New Roman" w:hAnsi="Tahoma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4863C7"/>
    <w:pPr>
      <w:jc w:val="both"/>
    </w:pPr>
    <w:rPr>
      <w:rFonts w:ascii="Tahoma" w:hAnsi="Tahoma"/>
      <w:szCs w:val="20"/>
      <w:lang w:val="sl-SI"/>
    </w:rPr>
  </w:style>
  <w:style w:type="character" w:customStyle="1" w:styleId="BodyText3Char">
    <w:name w:val="Body Text 3 Char"/>
    <w:basedOn w:val="DefaultParagraphFont"/>
    <w:link w:val="BodyText3"/>
    <w:rsid w:val="004863C7"/>
    <w:rPr>
      <w:rFonts w:ascii="Tahoma" w:eastAsia="Times New Roman" w:hAnsi="Tahoma" w:cs="Times New Roman"/>
      <w:sz w:val="24"/>
      <w:szCs w:val="20"/>
      <w:lang w:val="sl-SI"/>
    </w:rPr>
  </w:style>
  <w:style w:type="table" w:styleId="TableGrid">
    <w:name w:val="Table Grid"/>
    <w:basedOn w:val="TableNormal"/>
    <w:rsid w:val="0048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48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863C7"/>
  </w:style>
  <w:style w:type="numbering" w:customStyle="1" w:styleId="NoList2">
    <w:name w:val="No List2"/>
    <w:next w:val="NoList"/>
    <w:uiPriority w:val="99"/>
    <w:semiHidden/>
    <w:unhideWhenUsed/>
    <w:rsid w:val="004863C7"/>
  </w:style>
  <w:style w:type="numbering" w:customStyle="1" w:styleId="NoList3">
    <w:name w:val="No List3"/>
    <w:next w:val="NoList"/>
    <w:uiPriority w:val="99"/>
    <w:semiHidden/>
    <w:unhideWhenUsed/>
    <w:rsid w:val="004863C7"/>
  </w:style>
  <w:style w:type="paragraph" w:customStyle="1" w:styleId="listparagraphcxspmiddle">
    <w:name w:val="listparagraphcxspmiddle"/>
    <w:basedOn w:val="Normal"/>
    <w:rsid w:val="004863C7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Normal"/>
    <w:rsid w:val="004863C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rsid w:val="004863C7"/>
    <w:pPr>
      <w:spacing w:before="100" w:beforeAutospacing="1" w:after="100" w:afterAutospacing="1"/>
    </w:pPr>
  </w:style>
  <w:style w:type="character" w:styleId="Emphasis">
    <w:name w:val="Emphasis"/>
    <w:qFormat/>
    <w:rsid w:val="004863C7"/>
    <w:rPr>
      <w:i/>
      <w:iCs/>
    </w:rPr>
  </w:style>
  <w:style w:type="paragraph" w:styleId="NoSpacing">
    <w:name w:val="No Spacing"/>
    <w:uiPriority w:val="1"/>
    <w:qFormat/>
    <w:rsid w:val="0048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D45AD0"/>
    <w:pPr>
      <w:spacing w:before="100" w:beforeAutospacing="1" w:after="100" w:afterAutospacing="1"/>
    </w:pPr>
  </w:style>
  <w:style w:type="paragraph" w:customStyle="1" w:styleId="Default">
    <w:name w:val="Default"/>
    <w:rsid w:val="00D45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4210D"/>
    <w:rPr>
      <w:b/>
      <w:bCs/>
    </w:rPr>
  </w:style>
  <w:style w:type="paragraph" w:customStyle="1" w:styleId="Naslov">
    <w:name w:val="Naslov"/>
    <w:basedOn w:val="Heading1"/>
    <w:link w:val="NaslovChar"/>
    <w:qFormat/>
    <w:rsid w:val="008179BF"/>
    <w:rPr>
      <w:szCs w:val="26"/>
    </w:rPr>
  </w:style>
  <w:style w:type="paragraph" w:customStyle="1" w:styleId="Podnaslovi">
    <w:name w:val="Podnaslovi"/>
    <w:basedOn w:val="Normal"/>
    <w:link w:val="PodnasloviChar"/>
    <w:qFormat/>
    <w:rsid w:val="008179BF"/>
    <w:pPr>
      <w:spacing w:before="240" w:after="240"/>
      <w:jc w:val="both"/>
    </w:pPr>
    <w:rPr>
      <w:rFonts w:asciiTheme="majorHAnsi" w:hAnsiTheme="majorHAnsi" w:cs="Calibri"/>
      <w:b/>
      <w:sz w:val="26"/>
      <w:szCs w:val="26"/>
      <w:lang w:val="ru-RU"/>
    </w:rPr>
  </w:style>
  <w:style w:type="character" w:customStyle="1" w:styleId="NaslovChar">
    <w:name w:val="Naslov Char"/>
    <w:basedOn w:val="Heading1Char"/>
    <w:link w:val="Naslov"/>
    <w:rsid w:val="008179BF"/>
    <w:rPr>
      <w:rFonts w:asciiTheme="majorHAnsi" w:eastAsia="Times New Roman" w:hAnsiTheme="majorHAnsi" w:cs="Times New Roman"/>
      <w:b/>
      <w:bCs/>
      <w:sz w:val="26"/>
      <w:szCs w:val="26"/>
      <w:lang w:val="sr-Cyrl-CS"/>
    </w:rPr>
  </w:style>
  <w:style w:type="paragraph" w:customStyle="1" w:styleId="bezbroja">
    <w:name w:val="bez broja"/>
    <w:basedOn w:val="Normal"/>
    <w:link w:val="bezbrojaChar"/>
    <w:qFormat/>
    <w:rsid w:val="002419AA"/>
    <w:pPr>
      <w:jc w:val="both"/>
    </w:pPr>
    <w:rPr>
      <w:rFonts w:asciiTheme="minorHAnsi" w:hAnsiTheme="minorHAnsi"/>
      <w:b/>
      <w:sz w:val="22"/>
      <w:szCs w:val="22"/>
      <w:lang w:val="sr-Cyrl-BA"/>
    </w:rPr>
  </w:style>
  <w:style w:type="character" w:customStyle="1" w:styleId="PodnasloviChar">
    <w:name w:val="Podnaslovi Char"/>
    <w:basedOn w:val="DefaultParagraphFont"/>
    <w:link w:val="Podnaslovi"/>
    <w:rsid w:val="008179BF"/>
    <w:rPr>
      <w:rFonts w:asciiTheme="majorHAnsi" w:eastAsia="Times New Roman" w:hAnsiTheme="majorHAnsi" w:cs="Calibri"/>
      <w:b/>
      <w:sz w:val="26"/>
      <w:szCs w:val="26"/>
      <w:lang w:val="ru-RU"/>
    </w:rPr>
  </w:style>
  <w:style w:type="paragraph" w:customStyle="1" w:styleId="trecinivonaslova">
    <w:name w:val="treci nivo naslova"/>
    <w:basedOn w:val="Normal"/>
    <w:link w:val="trecinivonaslovaChar"/>
    <w:qFormat/>
    <w:rsid w:val="00492C5C"/>
    <w:pPr>
      <w:spacing w:before="240" w:after="240"/>
      <w:jc w:val="both"/>
    </w:pPr>
    <w:rPr>
      <w:rFonts w:asciiTheme="majorHAnsi" w:hAnsiTheme="majorHAnsi" w:cs="Calibri"/>
      <w:sz w:val="26"/>
      <w:szCs w:val="26"/>
      <w:lang w:val="sr-Cyrl-BA"/>
    </w:rPr>
  </w:style>
  <w:style w:type="character" w:customStyle="1" w:styleId="bezbrojaChar">
    <w:name w:val="bez broja Char"/>
    <w:basedOn w:val="DefaultParagraphFont"/>
    <w:link w:val="bezbroja"/>
    <w:rsid w:val="002419AA"/>
    <w:rPr>
      <w:rFonts w:eastAsia="Times New Roman" w:cs="Times New Roman"/>
      <w:b/>
      <w:lang w:val="sr-Cyrl-BA"/>
    </w:rPr>
  </w:style>
  <w:style w:type="paragraph" w:styleId="TOC2">
    <w:name w:val="toc 2"/>
    <w:basedOn w:val="Normal"/>
    <w:next w:val="Normal"/>
    <w:autoRedefine/>
    <w:uiPriority w:val="39"/>
    <w:unhideWhenUsed/>
    <w:rsid w:val="00D15F1A"/>
    <w:rPr>
      <w:rFonts w:asciiTheme="minorHAnsi" w:hAnsiTheme="minorHAnsi"/>
      <w:b/>
    </w:rPr>
  </w:style>
  <w:style w:type="character" w:customStyle="1" w:styleId="trecinivonaslovaChar">
    <w:name w:val="treci nivo naslova Char"/>
    <w:basedOn w:val="DefaultParagraphFont"/>
    <w:link w:val="trecinivonaslova"/>
    <w:rsid w:val="00492C5C"/>
    <w:rPr>
      <w:rFonts w:asciiTheme="majorHAnsi" w:eastAsia="Times New Roman" w:hAnsiTheme="majorHAnsi" w:cs="Calibri"/>
      <w:sz w:val="26"/>
      <w:szCs w:val="26"/>
      <w:lang w:val="sr-Cyrl-BA"/>
    </w:rPr>
  </w:style>
  <w:style w:type="paragraph" w:styleId="TOC1">
    <w:name w:val="toc 1"/>
    <w:basedOn w:val="Normal"/>
    <w:next w:val="Normal"/>
    <w:autoRedefine/>
    <w:uiPriority w:val="39"/>
    <w:unhideWhenUsed/>
    <w:rsid w:val="002D402E"/>
    <w:pPr>
      <w:spacing w:before="120" w:after="120"/>
    </w:pPr>
    <w:rPr>
      <w:rFonts w:asciiTheme="minorHAnsi" w:hAnsiTheme="minorHAnsi"/>
      <w:b/>
    </w:rPr>
  </w:style>
  <w:style w:type="character" w:styleId="Hyperlink">
    <w:name w:val="Hyperlink"/>
    <w:basedOn w:val="DefaultParagraphFont"/>
    <w:uiPriority w:val="99"/>
    <w:unhideWhenUsed/>
    <w:rsid w:val="008656A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D402E"/>
    <w:rPr>
      <w:rFonts w:asciiTheme="minorHAnsi" w:hAnsi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3.xml"/><Relationship Id="rId22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chemeClr val="tx2"/>
                </a:solidFill>
              </a:defRPr>
            </a:pPr>
            <a:r>
              <a:rPr lang="sr-Cyrl-RS" sz="1200">
                <a:solidFill>
                  <a:schemeClr val="tx2"/>
                </a:solidFill>
              </a:rPr>
              <a:t> РИЈЕШЕНИ ПРЕДМЕТИ У 2015. години </a:t>
            </a:r>
            <a:endParaRPr lang="sr-Latn-BA" sz="1200">
              <a:solidFill>
                <a:schemeClr val="tx2"/>
              </a:solidFill>
            </a:endParaRPr>
          </a:p>
          <a:p>
            <a:pPr>
              <a:defRPr sz="1200">
                <a:solidFill>
                  <a:schemeClr val="tx2"/>
                </a:solidFill>
              </a:defRPr>
            </a:pPr>
            <a:endParaRPr lang="sr-Cyrl-RS" sz="12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10413915547176886"/>
          <c:y val="0"/>
        </c:manualLayout>
      </c:layout>
      <c:overlay val="0"/>
    </c:title>
    <c:autoTitleDeleted val="0"/>
    <c:view3D>
      <c:rotX val="25"/>
      <c:rotY val="144"/>
      <c:rAngAx val="0"/>
      <c:perspective val="7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31383426435677"/>
          <c:y val="7.5732371235936374E-2"/>
          <c:w val="0.44550514168742228"/>
          <c:h val="0.92426762876406354"/>
        </c:manualLayout>
      </c:layout>
      <c:pie3DChart>
        <c:varyColors val="1"/>
        <c:ser>
          <c:idx val="0"/>
          <c:order val="0"/>
          <c:tx>
            <c:strRef>
              <c:f>Лист1!$A$10</c:f>
              <c:strCache>
                <c:ptCount val="1"/>
                <c:pt idx="0">
                  <c:v>УКУПНО 241</c:v>
                </c:pt>
              </c:strCache>
            </c:strRef>
          </c:tx>
          <c:explosion val="15"/>
          <c:dLbls>
            <c:dLbl>
              <c:idx val="0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Лист1!$B$9:$R$9</c:f>
              <c:strCache>
                <c:ptCount val="17"/>
                <c:pt idx="0">
                  <c:v>сагл. на ст. екон опр.</c:v>
                </c:pt>
                <c:pt idx="1">
                  <c:v>саг на докум.</c:v>
                </c:pt>
                <c:pt idx="2">
                  <c:v>одоб. јавног поз. </c:v>
                </c:pt>
                <c:pt idx="3">
                  <c:v>приј.најп.понуђ.</c:v>
                </c:pt>
                <c:pt idx="4">
                  <c:v>саг. на угов. о конц.</c:v>
                </c:pt>
                <c:pt idx="5">
                  <c:v>претх.саг.на приједлог уг. о конц</c:v>
                </c:pt>
                <c:pt idx="6">
                  <c:v>одбиј. саг. на ст.екон. оп.</c:v>
                </c:pt>
                <c:pt idx="7">
                  <c:v>сагл. на анекс уг. о конц.</c:v>
                </c:pt>
                <c:pt idx="8">
                  <c:v>саг. на уступање и промј. вл. структ. концес.</c:v>
                </c:pt>
                <c:pt idx="9">
                  <c:v>закљ. одбац. понуде</c:v>
                </c:pt>
                <c:pt idx="10">
                  <c:v>закљ. о враћ. студ. ек. оправд.1</c:v>
                </c:pt>
                <c:pt idx="11">
                  <c:v>сагл. на вођ. преговора</c:v>
                </c:pt>
                <c:pt idx="12">
                  <c:v>непот.предм. враћени</c:v>
                </c:pt>
                <c:pt idx="13">
                  <c:v>мишљења ком.</c:v>
                </c:pt>
                <c:pt idx="14">
                  <c:v>одговори на упите</c:v>
                </c:pt>
                <c:pt idx="15">
                  <c:v>Интерне одлуке</c:v>
                </c:pt>
                <c:pt idx="16">
                  <c:v>ук. ријешено</c:v>
                </c:pt>
              </c:strCache>
            </c:strRef>
          </c:cat>
          <c:val>
            <c:numRef>
              <c:f>Лист1!$B$10:$R$10</c:f>
              <c:numCache>
                <c:formatCode>General</c:formatCode>
                <c:ptCount val="17"/>
                <c:pt idx="0">
                  <c:v>5</c:v>
                </c:pt>
                <c:pt idx="1">
                  <c:v>16</c:v>
                </c:pt>
                <c:pt idx="2">
                  <c:v>1</c:v>
                </c:pt>
                <c:pt idx="3">
                  <c:v>12</c:v>
                </c:pt>
                <c:pt idx="4">
                  <c:v>5</c:v>
                </c:pt>
                <c:pt idx="5">
                  <c:v>12</c:v>
                </c:pt>
                <c:pt idx="6">
                  <c:v>1</c:v>
                </c:pt>
                <c:pt idx="7">
                  <c:v>23</c:v>
                </c:pt>
                <c:pt idx="8">
                  <c:v>5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15</c:v>
                </c:pt>
                <c:pt idx="14">
                  <c:v>76</c:v>
                </c:pt>
                <c:pt idx="15">
                  <c:v>64</c:v>
                </c:pt>
                <c:pt idx="16">
                  <c:v>241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064182140048939"/>
          <c:y val="0.15975451733831011"/>
          <c:w val="0.26761907737723256"/>
          <c:h val="0.83753806650629448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cap="none" spc="0">
                <a:ln w="952"/>
                <a:solidFill>
                  <a:schemeClr val="tx2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r>
              <a:rPr lang="sr-Cyrl-RS" sz="1200" b="1" cap="none" spc="0">
                <a:ln w="952"/>
                <a:solidFill>
                  <a:schemeClr val="tx2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rPr>
              <a:t>САГЛАСНОСТИ</a:t>
            </a:r>
          </a:p>
          <a:p>
            <a:pPr>
              <a:defRPr sz="1200" b="1" cap="none" spc="0">
                <a:ln w="952"/>
                <a:solidFill>
                  <a:schemeClr val="tx2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r>
              <a:rPr lang="sr-Cyrl-RS" sz="1200" b="1" cap="none" spc="0">
                <a:ln w="952"/>
                <a:solidFill>
                  <a:schemeClr val="tx2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rPr>
              <a:t> КОМИСИЈЕ</a:t>
            </a:r>
          </a:p>
        </c:rich>
      </c:tx>
      <c:layout>
        <c:manualLayout>
          <c:xMode val="edge"/>
          <c:yMode val="edge"/>
          <c:x val="0.37154170642349243"/>
          <c:y val="4.8343586338083994E-3"/>
        </c:manualLayout>
      </c:layout>
      <c:overlay val="0"/>
    </c:title>
    <c:autoTitleDeleted val="0"/>
    <c:view3D>
      <c:rotX val="2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22689098481803E-3"/>
          <c:y val="0.4577667227257049"/>
          <c:w val="0.99660856861970437"/>
          <c:h val="0.51212773565491521"/>
        </c:manualLayout>
      </c:layout>
      <c:pie3DChart>
        <c:varyColors val="1"/>
        <c:ser>
          <c:idx val="0"/>
          <c:order val="0"/>
          <c:explosion val="14"/>
          <c:dLbls>
            <c:dLbl>
              <c:idx val="0"/>
              <c:tx>
                <c:rich>
                  <a:bodyPr/>
                  <a:lstStyle/>
                  <a:p>
                    <a:r>
                      <a:rPr lang="sr-Cyrl-RS" sz="700" b="0" cap="none" spc="0">
                        <a:ln w="952"/>
                        <a:solidFill>
                          <a:sysClr val="windowText" lastClr="000000"/>
                        </a:solidFill>
                        <a:effectLst>
                          <a:innerShdw blurRad="69850" dist="43180" dir="5400000">
                            <a:srgbClr val="000000">
                              <a:alpha val="65000"/>
                            </a:srgbClr>
                          </a:innerShdw>
                        </a:effectLst>
                      </a:rPr>
                      <a:t>САГЛАСН. НА СТУДИЈУ Е.О.
8%</a:t>
                    </a:r>
                    <a:endParaRPr lang="sr-Cyrl-R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2910764589333542E-2"/>
                  <c:y val="-0.16448207017043115"/>
                </c:manualLayout>
              </c:layout>
              <c:tx>
                <c:rich>
                  <a:bodyPr/>
                  <a:lstStyle/>
                  <a:p>
                    <a:r>
                      <a:rPr lang="sr-Cyrl-RS" sz="700" b="0" cap="none" spc="0">
                        <a:ln w="952"/>
                        <a:solidFill>
                          <a:sysClr val="windowText" lastClr="000000"/>
                        </a:solidFill>
                        <a:effectLst>
                          <a:innerShdw blurRad="69850" dist="43180" dir="5400000">
                            <a:srgbClr val="000000">
                              <a:alpha val="65000"/>
                            </a:srgbClr>
                          </a:innerShdw>
                        </a:effectLst>
                      </a:rPr>
                      <a:t>САГЛАСН. НА ЈАВНИ ПОЗИВ, ДОКУМЕНТАЦИЈУ
26%</a:t>
                    </a:r>
                    <a:endParaRPr lang="sr-Cyrl-R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8980453398396872E-2"/>
                  <c:y val="-1.301454833623709E-3"/>
                </c:manualLayout>
              </c:layout>
              <c:tx>
                <c:rich>
                  <a:bodyPr/>
                  <a:lstStyle/>
                  <a:p>
                    <a:r>
                      <a:rPr lang="sr-Cyrl-RS" sz="700" b="0" cap="none" spc="0">
                        <a:ln w="952"/>
                        <a:solidFill>
                          <a:sysClr val="windowText" lastClr="000000"/>
                        </a:solidFill>
                        <a:effectLst>
                          <a:innerShdw blurRad="69850" dist="43180" dir="5400000">
                            <a:srgbClr val="000000">
                              <a:alpha val="65000"/>
                            </a:srgbClr>
                          </a:innerShdw>
                        </a:effectLst>
                      </a:rPr>
                      <a:t>ПРЕТХОДА САГЛАСН. НА ПРИЈЕД. УГОВОРА О КОНЦЕСИЈ
19%</a:t>
                    </a:r>
                    <a:endParaRPr lang="sr-Cyrl-R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6747963184904184E-2"/>
                  <c:y val="-0.2093837231447084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0795661104196083"/>
                  <c:y val="-8.56300780239707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7446780880185857E-2"/>
                  <c:y val="-6.0599964833443494E-2"/>
                </c:manualLayout>
              </c:layout>
              <c:tx>
                <c:rich>
                  <a:bodyPr/>
                  <a:lstStyle/>
                  <a:p>
                    <a:r>
                      <a:rPr lang="sr-Cyrl-RS" sz="700" b="0" cap="none" spc="0">
                        <a:ln w="952"/>
                        <a:solidFill>
                          <a:sysClr val="windowText" lastClr="000000"/>
                        </a:solidFill>
                        <a:effectLst>
                          <a:innerShdw blurRad="69850" dist="43180" dir="5400000">
                            <a:srgbClr val="000000">
                              <a:alpha val="65000"/>
                            </a:srgbClr>
                          </a:innerShdw>
                        </a:effectLst>
                      </a:rPr>
                      <a:t>САГЛАСН. НА ВОЂЕЊЕ ПРЕГОВОРА
3%</a:t>
                    </a:r>
                    <a:endParaRPr lang="sr-Cyrl-RS" b="1" cap="none" spc="0">
                      <a:ln w="450" cmpd="sng">
                        <a:solidFill>
                          <a:schemeClr val="accent1">
                            <a:satMod val="190000"/>
                            <a:alpha val="55000"/>
                          </a:schemeClr>
                        </a:solidFill>
                        <a:prstDash val="solid"/>
                      </a:ln>
                      <a:solidFill>
                        <a:schemeClr val="accent1">
                          <a:satMod val="200000"/>
                          <a:tint val="3000"/>
                        </a:schemeClr>
                      </a:solidFill>
                      <a:effectLst>
                        <a:innerShdw blurRad="101600" dist="76200" dir="5400000">
                          <a:schemeClr val="accent1">
                            <a:satMod val="190000"/>
                            <a:tint val="100000"/>
                            <a:alpha val="74000"/>
                          </a:schemeClr>
                        </a:innerShdw>
                      </a:effectLst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700" b="0" cap="none" spc="0">
                    <a:ln w="952"/>
                    <a:solidFill>
                      <a:sysClr val="windowText" lastClr="000000"/>
                    </a:soli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Sheet1!$A$6:$F$6</c:f>
              <c:strCache>
                <c:ptCount val="6"/>
                <c:pt idx="0">
                  <c:v>САГЛАСНОСТ Н СТУДИЈУ Е.О.</c:v>
                </c:pt>
                <c:pt idx="1">
                  <c:v>САГЛАСНОСТ НА ЈАВНИ ПОЗИВ, ДОКУМЕНТАЦИЈУ</c:v>
                </c:pt>
                <c:pt idx="2">
                  <c:v>ПРЕТХОДА САГЛАСНОСТ НА ПРИЈЕД. УГОВОРА О КОНЦЕСИЈ</c:v>
                </c:pt>
                <c:pt idx="3">
                  <c:v>САГЛАСН. НА АНЕКС УГОВОРА</c:v>
                </c:pt>
                <c:pt idx="4">
                  <c:v>САГЛАСН. НА УСТУПАЊЕ КОНЦ.</c:v>
                </c:pt>
                <c:pt idx="5">
                  <c:v>САГЛАСНОСТ НА ВОЂЕЊЕ ПРЕГОВОРА</c:v>
                </c:pt>
              </c:strCache>
            </c:strRef>
          </c:cat>
          <c:val>
            <c:numRef>
              <c:f>Sheet1!$A$7:$F$7</c:f>
              <c:numCache>
                <c:formatCode>General</c:formatCode>
                <c:ptCount val="6"/>
                <c:pt idx="0">
                  <c:v>5</c:v>
                </c:pt>
                <c:pt idx="1">
                  <c:v>17</c:v>
                </c:pt>
                <c:pt idx="2">
                  <c:v>12</c:v>
                </c:pt>
                <c:pt idx="3">
                  <c:v>23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cap="none" spc="0">
                <a:ln w="952"/>
                <a:solidFill>
                  <a:schemeClr val="tx2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r>
              <a:rPr lang="sr-Cyrl-RS" sz="1200" b="1" cap="none" spc="0">
                <a:ln w="952"/>
                <a:solidFill>
                  <a:schemeClr val="tx2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rPr>
              <a:t>МИШЉЕЊА, ОДГОВОРИ</a:t>
            </a:r>
          </a:p>
          <a:p>
            <a:pPr>
              <a:defRPr sz="1200" b="1" cap="none" spc="0">
                <a:ln w="952"/>
                <a:solidFill>
                  <a:schemeClr val="tx2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r>
              <a:rPr lang="sr-Cyrl-RS" sz="1200" b="1" cap="none" spc="0">
                <a:ln w="952"/>
                <a:solidFill>
                  <a:schemeClr val="tx2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rPr>
              <a:t> НА УПИТЕ, ИНТЕРНЕ ОДЛУКЕ</a:t>
            </a:r>
          </a:p>
        </c:rich>
      </c:tx>
      <c:layout>
        <c:manualLayout>
          <c:xMode val="edge"/>
          <c:yMode val="edge"/>
          <c:x val="0.17363503979987496"/>
          <c:y val="4.0092993648201708E-2"/>
        </c:manualLayout>
      </c:layout>
      <c:overlay val="0"/>
    </c:title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550640463713493"/>
          <c:y val="0.38503743271106927"/>
          <c:w val="0.79449359536286512"/>
          <c:h val="0.61224305661265099"/>
        </c:manualLayout>
      </c:layout>
      <c:pie3DChart>
        <c:varyColors val="1"/>
        <c:ser>
          <c:idx val="0"/>
          <c:order val="0"/>
          <c:explosion val="25"/>
          <c:dPt>
            <c:idx val="2"/>
            <c:bubble3D val="0"/>
            <c:explosion val="9"/>
          </c:dPt>
          <c:dLbls>
            <c:dLbl>
              <c:idx val="0"/>
              <c:layout>
                <c:manualLayout>
                  <c:x val="-5.9597286201899073E-2"/>
                  <c:y val="0.17044819337921049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sr-Cyrl-RS" b="1">
                        <a:solidFill>
                          <a:sysClr val="windowText" lastClr="000000"/>
                        </a:solidFill>
                      </a:rPr>
                      <a:t>МИШЉЕЊА
10%</a:t>
                    </a:r>
                    <a:endParaRPr lang="sr-Cyrl-RS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2959046270419811"/>
                  <c:y val="-0.16629733226923701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9935850626027918"/>
                  <c:y val="3.0167905099139167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Sheet1!$A$42:$C$42</c:f>
              <c:strCache>
                <c:ptCount val="3"/>
                <c:pt idx="0">
                  <c:v>МИШЉЕЊА КОМИСИЈЕ</c:v>
                </c:pt>
                <c:pt idx="1">
                  <c:v>ОДГОВОРИ НА УПИТЕ</c:v>
                </c:pt>
                <c:pt idx="2">
                  <c:v>ИНТЕРНЕ ОДЛУКЕ</c:v>
                </c:pt>
              </c:strCache>
            </c:strRef>
          </c:cat>
          <c:val>
            <c:numRef>
              <c:f>Sheet1!$A$43:$C$43</c:f>
              <c:numCache>
                <c:formatCode>General</c:formatCode>
                <c:ptCount val="3"/>
                <c:pt idx="0">
                  <c:v>15</c:v>
                </c:pt>
                <c:pt idx="1">
                  <c:v>76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chemeClr val="accent1">
                    <a:lumMod val="75000"/>
                  </a:schemeClr>
                </a:solidFill>
              </a:defRPr>
            </a:pPr>
            <a:r>
              <a:rPr lang="sr-Cyrl-RS" sz="1200">
                <a:solidFill>
                  <a:schemeClr val="accent1">
                    <a:lumMod val="75000"/>
                  </a:schemeClr>
                </a:solidFill>
              </a:rPr>
              <a:t>РИЈЕШЕНИ ПРЕДМЕТИ ПО ОБЛАСТИМА</a:t>
            </a:r>
            <a:endParaRPr lang="en-US" sz="1200">
              <a:solidFill>
                <a:schemeClr val="accent1">
                  <a:lumMod val="75000"/>
                </a:schemeClr>
              </a:solidFill>
            </a:endParaRPr>
          </a:p>
        </c:rich>
      </c:tx>
      <c:overlay val="0"/>
    </c:title>
    <c:autoTitleDeleted val="0"/>
    <c:view3D>
      <c:rotX val="2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минерални ресурси</c:v>
          </c:tx>
          <c:explosion val="20"/>
          <c:dPt>
            <c:idx val="0"/>
            <c:bubble3D val="0"/>
            <c:explosion val="9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26</a:t>
                    </a:r>
                    <a:r>
                      <a:rPr lang="sr-Cyrl-RS" b="1"/>
                      <a:t> </a:t>
                    </a:r>
                    <a:r>
                      <a:rPr lang="sr-Cyrl-RS" b="1" baseline="0"/>
                      <a:t> (</a:t>
                    </a:r>
                    <a:r>
                      <a:rPr lang="en-US" b="1"/>
                      <a:t>36%</a:t>
                    </a:r>
                    <a:r>
                      <a:rPr lang="sr-Cyrl-RS" b="1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33</a:t>
                    </a:r>
                    <a:r>
                      <a:rPr lang="en-US" b="1"/>
                      <a:t> </a:t>
                    </a:r>
                    <a:r>
                      <a:rPr lang="sr-Cyrl-RS" b="1"/>
                      <a:t>  (</a:t>
                    </a:r>
                    <a:r>
                      <a:rPr lang="en-US" b="1"/>
                      <a:t>45%</a:t>
                    </a:r>
                    <a:r>
                      <a:rPr lang="sr-Cyrl-RS" b="1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1"/>
                        </a:solidFill>
                      </a:rPr>
                      <a:t>1</a:t>
                    </a:r>
                    <a:r>
                      <a:rPr lang="sr-Cyrl-RS" b="1" baseline="0"/>
                      <a:t>  (</a:t>
                    </a:r>
                    <a:r>
                      <a:rPr lang="en-US" b="1"/>
                      <a:t>2%</a:t>
                    </a:r>
                    <a:r>
                      <a:rPr lang="sr-Cyrl-RS" b="1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1"/>
                        </a:solidFill>
                      </a:rPr>
                      <a:t>1</a:t>
                    </a:r>
                    <a:r>
                      <a:rPr lang="sr-Cyrl-RS" b="1"/>
                      <a:t>  (</a:t>
                    </a:r>
                    <a:r>
                      <a:rPr lang="en-US" b="1"/>
                      <a:t>1%</a:t>
                    </a:r>
                    <a:r>
                      <a:rPr lang="sr-Cyrl-RS" b="1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5.9557162664071218E-2"/>
                  <c:y val="-0.15502095644025704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1"/>
                        </a:solidFill>
                      </a:rPr>
                      <a:t>1</a:t>
                    </a:r>
                    <a:r>
                      <a:rPr lang="en-US" b="1"/>
                      <a:t> </a:t>
                    </a:r>
                    <a:r>
                      <a:rPr lang="sr-Cyrl-RS" b="1"/>
                      <a:t>(</a:t>
                    </a:r>
                    <a:r>
                      <a:rPr lang="en-US" b="1"/>
                      <a:t>1%</a:t>
                    </a:r>
                    <a:r>
                      <a:rPr lang="sr-Cyrl-RS" b="1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1676860621530918"/>
                  <c:y val="7.4312515776656721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11</a:t>
                    </a:r>
                    <a:r>
                      <a:rPr lang="sr-Cyrl-RS" b="1"/>
                      <a:t> </a:t>
                    </a:r>
                    <a:r>
                      <a:rPr lang="en-US" b="1"/>
                      <a:t> </a:t>
                    </a:r>
                    <a:r>
                      <a:rPr lang="sr-Cyrl-RS" b="1"/>
                      <a:t>(</a:t>
                    </a:r>
                    <a:r>
                      <a:rPr lang="en-US" b="1"/>
                      <a:t>15%</a:t>
                    </a:r>
                    <a:r>
                      <a:rPr lang="sr-Cyrl-RS" b="1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val>
            <c:numRef>
              <c:f>Sheet1!$E$1:$E$6</c:f>
              <c:numCache>
                <c:formatCode>General</c:formatCode>
                <c:ptCount val="6"/>
                <c:pt idx="0">
                  <c:v>26</c:v>
                </c:pt>
                <c:pt idx="1">
                  <c:v>33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8252405949256341E-2"/>
          <c:w val="1"/>
          <c:h val="0.8326195683872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3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'[Копија Графикон-број излазних Рјешења Комисије 2011-2015.xlsx]Sheet1'!$B$3:$F$3</c:f>
              <c:strCache>
                <c:ptCount val="5"/>
                <c:pt idx="0">
                  <c:v> 2011. </c:v>
                </c:pt>
                <c:pt idx="1">
                  <c:v>2012.</c:v>
                </c:pt>
                <c:pt idx="2">
                  <c:v>2013.</c:v>
                </c:pt>
                <c:pt idx="3">
                  <c:v> 2014.</c:v>
                </c:pt>
                <c:pt idx="4">
                  <c:v> 2015.</c:v>
                </c:pt>
              </c:strCache>
            </c:strRef>
          </c:cat>
          <c:val>
            <c:numRef>
              <c:f>'[Копија Графикон-број излазних Рјешења Комисије 2011-2015.xlsx]Sheet1'!$B$4:$F$4</c:f>
              <c:numCache>
                <c:formatCode>General</c:formatCode>
                <c:ptCount val="5"/>
                <c:pt idx="0">
                  <c:v>193</c:v>
                </c:pt>
                <c:pt idx="1">
                  <c:v>220</c:v>
                </c:pt>
                <c:pt idx="2">
                  <c:v>205</c:v>
                </c:pt>
                <c:pt idx="3">
                  <c:v>219</c:v>
                </c:pt>
                <c:pt idx="4">
                  <c:v>239</c:v>
                </c:pt>
              </c:numCache>
            </c:numRef>
          </c:val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'[Копија Графикон-број излазних Рјешења Комисије 2011-2015.xlsx]Sheet1'!$B$3:$F$3</c:f>
              <c:strCache>
                <c:ptCount val="5"/>
                <c:pt idx="0">
                  <c:v> 2011. </c:v>
                </c:pt>
                <c:pt idx="1">
                  <c:v>2012.</c:v>
                </c:pt>
                <c:pt idx="2">
                  <c:v>2013.</c:v>
                </c:pt>
                <c:pt idx="3">
                  <c:v> 2014.</c:v>
                </c:pt>
                <c:pt idx="4">
                  <c:v> 2015.</c:v>
                </c:pt>
              </c:strCache>
            </c:strRef>
          </c:cat>
          <c:val>
            <c:numRef>
              <c:f>'[Копија Графикон-број излазних Рјешења Комисије 2011-2015.xlsx]Sheet1'!$B$5:$F$5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'[Копија Графикон-број излазних Рјешења Комисије 2011-2015.xlsx]Sheet1'!$B$3:$F$3</c:f>
              <c:strCache>
                <c:ptCount val="5"/>
                <c:pt idx="0">
                  <c:v> 2011. </c:v>
                </c:pt>
                <c:pt idx="1">
                  <c:v>2012.</c:v>
                </c:pt>
                <c:pt idx="2">
                  <c:v>2013.</c:v>
                </c:pt>
                <c:pt idx="3">
                  <c:v> 2014.</c:v>
                </c:pt>
                <c:pt idx="4">
                  <c:v> 2015.</c:v>
                </c:pt>
              </c:strCache>
            </c:strRef>
          </c:cat>
          <c:val>
            <c:numRef>
              <c:f>'[Копија Графикон-број излазних Рјешења Комисије 2011-2015.xlsx]Sheet1'!$B$6:$F$6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'[Копија Графикон-број излазних Рјешења Комисије 2011-2015.xlsx]Sheet1'!$B$3:$F$3</c:f>
              <c:strCache>
                <c:ptCount val="5"/>
                <c:pt idx="0">
                  <c:v> 2011. </c:v>
                </c:pt>
                <c:pt idx="1">
                  <c:v>2012.</c:v>
                </c:pt>
                <c:pt idx="2">
                  <c:v>2013.</c:v>
                </c:pt>
                <c:pt idx="3">
                  <c:v> 2014.</c:v>
                </c:pt>
                <c:pt idx="4">
                  <c:v> 2015.</c:v>
                </c:pt>
              </c:strCache>
            </c:strRef>
          </c:cat>
          <c:val>
            <c:numRef>
              <c:f>'[Копија Графикон-број излазних Рјешења Комисије 2011-2015.xlsx]Sheet1'!$B$7:$F$7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'[Копија Графикон-број излазних Рјешења Комисије 2011-2015.xlsx]Sheet1'!$B$3:$F$3</c:f>
              <c:strCache>
                <c:ptCount val="5"/>
                <c:pt idx="0">
                  <c:v> 2011. </c:v>
                </c:pt>
                <c:pt idx="1">
                  <c:v>2012.</c:v>
                </c:pt>
                <c:pt idx="2">
                  <c:v>2013.</c:v>
                </c:pt>
                <c:pt idx="3">
                  <c:v> 2014.</c:v>
                </c:pt>
                <c:pt idx="4">
                  <c:v> 2015.</c:v>
                </c:pt>
              </c:strCache>
            </c:strRef>
          </c:cat>
          <c:val>
            <c:numRef>
              <c:f>'[Копија Графикон-број излазних Рјешења Комисије 2011-2015.xlsx]Sheet1'!$B$8:$F$8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161"/>
        <c:shape val="box"/>
        <c:axId val="94681344"/>
        <c:axId val="94695424"/>
        <c:axId val="0"/>
      </c:bar3DChart>
      <c:catAx>
        <c:axId val="9468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94695424"/>
        <c:crosses val="autoZero"/>
        <c:auto val="1"/>
        <c:lblAlgn val="ctr"/>
        <c:lblOffset val="100"/>
        <c:noMultiLvlLbl val="0"/>
      </c:catAx>
      <c:valAx>
        <c:axId val="946954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4681344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B/>
        </a:sp3d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>
                <a:solidFill>
                  <a:schemeClr val="tx2"/>
                </a:solidFill>
              </a:defRPr>
            </a:pPr>
            <a:r>
              <a:rPr lang="sr-Cyrl-RS" sz="1400">
                <a:solidFill>
                  <a:schemeClr val="tx2"/>
                </a:solidFill>
              </a:rPr>
              <a:t>Наплаћена </a:t>
            </a:r>
            <a:r>
              <a:rPr lang="sr-Cyrl-RS" sz="1400" baseline="0">
                <a:solidFill>
                  <a:schemeClr val="tx2"/>
                </a:solidFill>
              </a:rPr>
              <a:t> концесиона  накнада</a:t>
            </a:r>
          </a:p>
          <a:p>
            <a:pPr algn="ctr">
              <a:defRPr sz="1400">
                <a:solidFill>
                  <a:schemeClr val="tx2"/>
                </a:solidFill>
              </a:defRPr>
            </a:pPr>
            <a:r>
              <a:rPr lang="sr-Cyrl-RS" sz="1400" baseline="0">
                <a:solidFill>
                  <a:schemeClr val="tx2"/>
                </a:solidFill>
              </a:rPr>
              <a:t> по областима 2015. г.</a:t>
            </a:r>
            <a:endParaRPr lang="en-US" sz="14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13639399703201657"/>
          <c:y val="5.4045619258272174E-3"/>
        </c:manualLayout>
      </c:layout>
      <c:overlay val="0"/>
    </c:title>
    <c:autoTitleDeleted val="0"/>
    <c:view3D>
      <c:rotX val="10"/>
      <c:rotY val="30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3087708956166577E-2"/>
          <c:w val="1"/>
          <c:h val="0.96423874194083714"/>
        </c:manualLayout>
      </c:layout>
      <c:pie3DChart>
        <c:varyColors val="1"/>
        <c:ser>
          <c:idx val="0"/>
          <c:order val="0"/>
          <c:explosion val="73"/>
          <c:dLbls>
            <c:dLbl>
              <c:idx val="1"/>
              <c:layout>
                <c:manualLayout>
                  <c:x val="0.21283791266598004"/>
                  <c:y val="-5.3217566165344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419011705815253"/>
                  <c:y val="4.4209619142196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5666962219121344"/>
                  <c:y val="0.127036966411506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796142175266066E-3"/>
                  <c:y val="0.15280770878580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Sheet2!$D$1:$D$5</c:f>
              <c:numCache>
                <c:formatCode>#,##0</c:formatCode>
                <c:ptCount val="5"/>
                <c:pt idx="0">
                  <c:v>28134393</c:v>
                </c:pt>
                <c:pt idx="1">
                  <c:v>563340</c:v>
                </c:pt>
                <c:pt idx="2">
                  <c:v>321134</c:v>
                </c:pt>
                <c:pt idx="3">
                  <c:v>151969</c:v>
                </c:pt>
                <c:pt idx="4">
                  <c:v>119070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cap="none" spc="0">
                <a:ln w="10541" cmpd="sng">
                  <a:solidFill>
                    <a:schemeClr val="accent1">
                      <a:shade val="88000"/>
                      <a:satMod val="110000"/>
                    </a:schemeClr>
                  </a:solidFill>
                  <a:prstDash val="solid"/>
                </a:ln>
                <a:solidFill>
                  <a:schemeClr val="tx2"/>
                </a:solidFill>
                <a:effectLst/>
              </a:defRPr>
            </a:pPr>
            <a:r>
              <a:rPr lang="sr-Cyrl-RS" sz="1400"/>
              <a:t>Пољопривреда </a:t>
            </a:r>
          </a:p>
        </c:rich>
      </c:tx>
      <c:layout>
        <c:manualLayout>
          <c:xMode val="edge"/>
          <c:yMode val="edge"/>
          <c:x val="0.43248984791501804"/>
          <c:y val="7.8817784977009309E-4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301587301587297E-2"/>
          <c:y val="0.20445570541306099"/>
          <c:w val="0.91269841269841268"/>
          <c:h val="0.662738567222665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'[Копија УПЛАТЕ ККН 20132014 и 2015 збирно по Областима.xlsx]Sheet1'!$A$5</c:f>
              <c:strCache>
                <c:ptCount val="1"/>
                <c:pt idx="0">
                  <c:v>Пољопривреда у КМ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000" b="1">
                    <a:solidFill>
                      <a:srgbClr val="002060"/>
                    </a:solidFill>
                    <a:latin typeface="Arial Narrow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'[Копија УПЛАТЕ ККН 20132014 и 2015 збирно по Областима.xlsx]Sheet1'!$B$4:$D$4</c:f>
              <c:strCache>
                <c:ptCount val="3"/>
                <c:pt idx="0">
                  <c:v>2013.</c:v>
                </c:pt>
                <c:pt idx="1">
                  <c:v>2014.</c:v>
                </c:pt>
                <c:pt idx="2">
                  <c:v>2015.</c:v>
                </c:pt>
              </c:strCache>
            </c:strRef>
          </c:cat>
          <c:val>
            <c:numRef>
              <c:f>'[Копија УПЛАТЕ ККН 20132014 и 2015 збирно по Областима.xlsx]Sheet1'!$B$5:$D$5</c:f>
              <c:numCache>
                <c:formatCode>#,##0</c:formatCode>
                <c:ptCount val="3"/>
                <c:pt idx="0">
                  <c:v>742411.21</c:v>
                </c:pt>
                <c:pt idx="1">
                  <c:v>940482.87</c:v>
                </c:pt>
                <c:pt idx="2">
                  <c:v>563340.24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5"/>
        <c:gapDepth val="158"/>
        <c:shape val="cylinder"/>
        <c:axId val="108808448"/>
        <c:axId val="108814336"/>
        <c:axId val="0"/>
      </c:bar3DChart>
      <c:catAx>
        <c:axId val="108808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108814336"/>
        <c:crosses val="autoZero"/>
        <c:auto val="1"/>
        <c:lblAlgn val="ctr"/>
        <c:lblOffset val="100"/>
        <c:noMultiLvlLbl val="0"/>
      </c:catAx>
      <c:valAx>
        <c:axId val="10881433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088084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chemeClr val="tx2"/>
                </a:solidFill>
              </a:defRPr>
            </a:pPr>
            <a:r>
              <a:rPr lang="sr-Cyrl-RS"/>
              <a:t>Приређевиње игара на срећу  </a:t>
            </a:r>
          </a:p>
        </c:rich>
      </c:tx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4806539807524062"/>
          <c:w val="0.9393454299473365"/>
          <c:h val="0.462088801399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'[Копија УПЛАТЕ ККН 20132014 и 2015 збирно по Областима.xlsx]Sheet1'!$A$9</c:f>
              <c:strCache>
                <c:ptCount val="1"/>
                <c:pt idx="0">
                  <c:v>Приређевиње игара на срећу  у КМ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effectLst>
              <a:outerShdw blurRad="50800" dist="2146300" dir="5400000" algn="ctr" rotWithShape="0">
                <a:srgbClr val="000000">
                  <a:alpha val="43137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000" b="1">
                        <a:solidFill>
                          <a:schemeClr val="tx2"/>
                        </a:solidFill>
                        <a:latin typeface="Arial Narrow" pitchFamily="34" charset="0"/>
                        <a:cs typeface="Arial" pitchFamily="34" charset="0"/>
                      </a:defRPr>
                    </a:pPr>
                    <a:r>
                      <a:rPr lang="en-US" sz="1000">
                        <a:solidFill>
                          <a:schemeClr val="tx2"/>
                        </a:solidFill>
                        <a:latin typeface="Arial Narrow" pitchFamily="34" charset="0"/>
                        <a:cs typeface="Arial" pitchFamily="34" charset="0"/>
                      </a:rPr>
                      <a:t>147.486</a:t>
                    </a:r>
                    <a:endParaRPr lang="en-US"/>
                  </a:p>
                </c:rich>
              </c:tx>
              <c:spPr>
                <a:scene3d>
                  <a:camera prst="orthographicFront"/>
                  <a:lightRig rig="threePt" dir="t"/>
                </a:scene3d>
                <a:sp3d>
                  <a:bevelT w="6350"/>
                </a:sp3d>
              </c:sp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chemeClr val="tx2"/>
                        </a:solidFill>
                        <a:latin typeface="Arial Narrow" pitchFamily="34" charset="0"/>
                        <a:cs typeface="Arial" pitchFamily="34" charset="0"/>
                      </a:rPr>
                      <a:t>160.582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chemeClr val="tx2"/>
                        </a:solidFill>
                        <a:latin typeface="Arial Narrow" pitchFamily="34" charset="0"/>
                        <a:cs typeface="Arial" pitchFamily="34" charset="0"/>
                      </a:rPr>
                      <a:t>151.969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chemeClr val="tx2"/>
                    </a:solidFill>
                    <a:latin typeface="Arial Narrow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'[Копија УПЛАТЕ ККН 20132014 и 2015 збирно по Областима.xlsx]Sheet1'!$B$8:$D$8</c:f>
              <c:strCache>
                <c:ptCount val="3"/>
                <c:pt idx="0">
                  <c:v>2013. </c:v>
                </c:pt>
                <c:pt idx="1">
                  <c:v>2014.</c:v>
                </c:pt>
                <c:pt idx="2">
                  <c:v>2015.</c:v>
                </c:pt>
              </c:strCache>
            </c:strRef>
          </c:cat>
          <c:val>
            <c:numRef>
              <c:f>'[Копија УПЛАТЕ ККН 20132014 и 2015 збирно по Областима.xlsx]Sheet1'!$B$9:$D$9</c:f>
              <c:numCache>
                <c:formatCode>#,##0.00</c:formatCode>
                <c:ptCount val="3"/>
                <c:pt idx="0">
                  <c:v>147486.46</c:v>
                </c:pt>
                <c:pt idx="1">
                  <c:v>160582.04999999999</c:v>
                </c:pt>
                <c:pt idx="2">
                  <c:v>151969.38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7"/>
        <c:gapDepth val="0"/>
        <c:shape val="cylinder"/>
        <c:axId val="108823296"/>
        <c:axId val="108824832"/>
        <c:axId val="0"/>
      </c:bar3DChart>
      <c:catAx>
        <c:axId val="108823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108824832"/>
        <c:crosses val="autoZero"/>
        <c:auto val="1"/>
        <c:lblAlgn val="ctr"/>
        <c:lblOffset val="100"/>
        <c:noMultiLvlLbl val="0"/>
      </c:catAx>
      <c:valAx>
        <c:axId val="108824832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108823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cap="none" spc="0">
                <a:ln w="10541" cmpd="sng">
                  <a:solidFill>
                    <a:schemeClr val="accent1">
                      <a:shade val="88000"/>
                      <a:satMod val="110000"/>
                    </a:schemeClr>
                  </a:solidFill>
                  <a:prstDash val="solid"/>
                </a:ln>
                <a:solidFill>
                  <a:schemeClr val="tx2"/>
                </a:solidFill>
                <a:effectLst/>
              </a:defRPr>
            </a:pPr>
            <a:r>
              <a:rPr lang="sr-Cyrl-RS"/>
              <a:t>Спортско риболовна друштва</a:t>
            </a:r>
          </a:p>
        </c:rich>
      </c:tx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'[Копија УПЛАТЕ ККН 20132014 и 2015 збирно по Областима.xlsx]Sheet1'!$A$11</c:f>
              <c:strCache>
                <c:ptCount val="1"/>
                <c:pt idx="0">
                  <c:v>Спортско риболовна друштва у КМ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txPr>
              <a:bodyPr/>
              <a:lstStyle/>
              <a:p>
                <a:pPr>
                  <a:defRPr sz="1000" b="1">
                    <a:solidFill>
                      <a:srgbClr val="002060"/>
                    </a:solidFill>
                    <a:latin typeface="Arial Narrow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'[Копија УПЛАТЕ ККН 20132014 и 2015 збирно по Областима.xlsx]Sheet1'!$B$10:$D$10</c:f>
              <c:strCache>
                <c:ptCount val="3"/>
                <c:pt idx="0">
                  <c:v>2013. </c:v>
                </c:pt>
                <c:pt idx="1">
                  <c:v>2014.</c:v>
                </c:pt>
                <c:pt idx="2">
                  <c:v>2015.</c:v>
                </c:pt>
              </c:strCache>
            </c:strRef>
          </c:cat>
          <c:val>
            <c:numRef>
              <c:f>'[Копија УПЛАТЕ ККН 20132014 и 2015 збирно по Областима.xlsx]Sheet1'!$B$11:$D$11</c:f>
              <c:numCache>
                <c:formatCode>#,##0</c:formatCode>
                <c:ptCount val="3"/>
                <c:pt idx="0" formatCode="0.00">
                  <c:v>0</c:v>
                </c:pt>
                <c:pt idx="1">
                  <c:v>124913.31</c:v>
                </c:pt>
                <c:pt idx="2">
                  <c:v>119070.5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shape val="cylinder"/>
        <c:axId val="117321088"/>
        <c:axId val="117322880"/>
        <c:axId val="0"/>
      </c:bar3DChart>
      <c:catAx>
        <c:axId val="117321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en-US"/>
          </a:p>
        </c:txPr>
        <c:crossAx val="117322880"/>
        <c:crosses val="autoZero"/>
        <c:auto val="1"/>
        <c:lblAlgn val="ctr"/>
        <c:lblOffset val="100"/>
        <c:noMultiLvlLbl val="0"/>
      </c:catAx>
      <c:valAx>
        <c:axId val="117322880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173210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0.66394</cdr:x>
      <cdr:y>0.17438</cdr:y>
    </cdr:from>
    <cdr:to>
      <cdr:x>1</cdr:x>
      <cdr:y>0.61924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858061" y="35844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9ACE-C726-424E-AE79-B3AB4F37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58</Pages>
  <Words>22596</Words>
  <Characters>128802</Characters>
  <Application>Microsoft Office Word</Application>
  <DocSecurity>0</DocSecurity>
  <Lines>1073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Bilja</cp:lastModifiedBy>
  <cp:revision>68</cp:revision>
  <cp:lastPrinted>2016-07-13T09:06:00Z</cp:lastPrinted>
  <dcterms:created xsi:type="dcterms:W3CDTF">2016-04-27T15:27:00Z</dcterms:created>
  <dcterms:modified xsi:type="dcterms:W3CDTF">2016-07-13T09:13:00Z</dcterms:modified>
</cp:coreProperties>
</file>